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9A9" w:rsidRPr="00E819A9" w:rsidRDefault="00E819A9" w:rsidP="00E819A9">
      <w:pPr>
        <w:jc w:val="center"/>
        <w:rPr>
          <w:sz w:val="44"/>
          <w:szCs w:val="44"/>
        </w:rPr>
      </w:pPr>
      <w:r w:rsidRPr="00E819A9">
        <w:rPr>
          <w:sz w:val="44"/>
          <w:szCs w:val="44"/>
        </w:rPr>
        <w:t>Festvortrag</w:t>
      </w:r>
    </w:p>
    <w:p w:rsidR="00E819A9" w:rsidRPr="00E819A9" w:rsidRDefault="00E819A9" w:rsidP="00E819A9">
      <w:pPr>
        <w:jc w:val="center"/>
        <w:rPr>
          <w:sz w:val="32"/>
          <w:szCs w:val="32"/>
        </w:rPr>
      </w:pPr>
      <w:r>
        <w:rPr>
          <w:sz w:val="32"/>
          <w:szCs w:val="32"/>
        </w:rPr>
        <w:t>a</w:t>
      </w:r>
      <w:r w:rsidR="00885A64" w:rsidRPr="00E819A9">
        <w:rPr>
          <w:sz w:val="32"/>
          <w:szCs w:val="32"/>
        </w:rPr>
        <w:t>nlässlich</w:t>
      </w:r>
    </w:p>
    <w:p w:rsidR="00E819A9" w:rsidRPr="00E819A9" w:rsidRDefault="00A14B5E" w:rsidP="00E819A9">
      <w:pPr>
        <w:jc w:val="center"/>
        <w:rPr>
          <w:sz w:val="32"/>
          <w:szCs w:val="32"/>
        </w:rPr>
      </w:pPr>
      <w:r w:rsidRPr="00E819A9">
        <w:rPr>
          <w:sz w:val="32"/>
          <w:szCs w:val="32"/>
        </w:rPr>
        <w:t xml:space="preserve">20 Jahre </w:t>
      </w:r>
      <w:r w:rsidR="00E819A9" w:rsidRPr="00E819A9">
        <w:rPr>
          <w:sz w:val="32"/>
          <w:szCs w:val="32"/>
        </w:rPr>
        <w:t>Institut „integriert studieren“</w:t>
      </w:r>
    </w:p>
    <w:p w:rsidR="00750F89" w:rsidRDefault="003C0CB4" w:rsidP="00E819A9">
      <w:pPr>
        <w:jc w:val="center"/>
        <w:rPr>
          <w:sz w:val="32"/>
          <w:szCs w:val="32"/>
        </w:rPr>
      </w:pPr>
      <w:r>
        <w:rPr>
          <w:sz w:val="32"/>
          <w:szCs w:val="32"/>
        </w:rPr>
        <w:t>der Johannes Kepler</w:t>
      </w:r>
      <w:r w:rsidR="00A14B5E" w:rsidRPr="00E819A9">
        <w:rPr>
          <w:sz w:val="32"/>
          <w:szCs w:val="32"/>
        </w:rPr>
        <w:t xml:space="preserve"> Universität Linz</w:t>
      </w:r>
    </w:p>
    <w:p w:rsidR="008C4C09" w:rsidRPr="00E819A9" w:rsidRDefault="008C4C09" w:rsidP="00E819A9">
      <w:pPr>
        <w:jc w:val="center"/>
        <w:rPr>
          <w:sz w:val="32"/>
          <w:szCs w:val="32"/>
        </w:rPr>
      </w:pPr>
    </w:p>
    <w:p w:rsidR="00A14B5E" w:rsidRDefault="00A14B5E">
      <w:r>
        <w:t>Joachim Klaus</w:t>
      </w:r>
      <w:r>
        <w:br/>
        <w:t>Karlsruher Institut für Technologie (KIT)</w:t>
      </w:r>
      <w:r>
        <w:br/>
        <w:t>Studienzentrum für Sehgeschädigte</w:t>
      </w:r>
    </w:p>
    <w:p w:rsidR="00E819A9" w:rsidRDefault="00E819A9"/>
    <w:p w:rsidR="00A14B5E" w:rsidRDefault="00E819A9" w:rsidP="00E819A9">
      <w:pPr>
        <w:tabs>
          <w:tab w:val="left" w:pos="7371"/>
        </w:tabs>
      </w:pPr>
      <w:r>
        <w:tab/>
      </w:r>
      <w:r w:rsidR="00A14B5E">
        <w:t>11.07.2011</w:t>
      </w:r>
    </w:p>
    <w:p w:rsidR="003C0CB4" w:rsidRDefault="00A14B5E">
      <w:r>
        <w:t xml:space="preserve">Magnifizenz, sehr verehrte Festgesellschaft, </w:t>
      </w:r>
    </w:p>
    <w:p w:rsidR="006B2BD8" w:rsidRDefault="00A14B5E">
      <w:r>
        <w:t>es liegt gerade einen Monat zurück –am 9. Juni 2011</w:t>
      </w:r>
      <w:proofErr w:type="gramStart"/>
      <w:r w:rsidR="006B2BD8">
        <w:t xml:space="preserve">- </w:t>
      </w:r>
      <w:r>
        <w:t>,</w:t>
      </w:r>
      <w:proofErr w:type="gramEnd"/>
      <w:r>
        <w:t xml:space="preserve"> da traten die WHO –</w:t>
      </w:r>
      <w:r w:rsidR="00C96DF8" w:rsidRPr="006B2BD8">
        <w:t>Wo</w:t>
      </w:r>
      <w:r w:rsidRPr="006B2BD8">
        <w:t xml:space="preserve">rld </w:t>
      </w:r>
      <w:proofErr w:type="spellStart"/>
      <w:r w:rsidRPr="006B2BD8">
        <w:t>Health</w:t>
      </w:r>
      <w:proofErr w:type="spellEnd"/>
      <w:r w:rsidRPr="006B2BD8">
        <w:t xml:space="preserve"> </w:t>
      </w:r>
      <w:proofErr w:type="spellStart"/>
      <w:r w:rsidRPr="006B2BD8">
        <w:t>Organization</w:t>
      </w:r>
      <w:proofErr w:type="spellEnd"/>
      <w:r>
        <w:t xml:space="preserve"> und die </w:t>
      </w:r>
      <w:r w:rsidR="00885A64">
        <w:t xml:space="preserve">Weltbank mit einem </w:t>
      </w:r>
    </w:p>
    <w:p w:rsidR="006B2BD8" w:rsidRPr="006B2BD8" w:rsidRDefault="00885A64">
      <w:pPr>
        <w:rPr>
          <w:lang w:val="en-US"/>
        </w:rPr>
      </w:pPr>
      <w:r w:rsidRPr="006B2BD8">
        <w:rPr>
          <w:lang w:val="en-US"/>
        </w:rPr>
        <w:t xml:space="preserve">„1st World Report on </w:t>
      </w:r>
      <w:r w:rsidR="00C96DF8" w:rsidRPr="006B2BD8">
        <w:rPr>
          <w:lang w:val="en-US"/>
        </w:rPr>
        <w:t>Disability</w:t>
      </w:r>
      <w:r w:rsidRPr="006B2BD8">
        <w:rPr>
          <w:lang w:val="en-US"/>
        </w:rPr>
        <w:t>“</w:t>
      </w:r>
    </w:p>
    <w:p w:rsidR="006B2BD8" w:rsidRPr="003C0CB4" w:rsidRDefault="00885A64">
      <w:pPr>
        <w:rPr>
          <w:lang w:val="en-US"/>
        </w:rPr>
      </w:pPr>
      <w:r w:rsidRPr="006B2BD8">
        <w:rPr>
          <w:lang w:val="en-US"/>
        </w:rPr>
        <w:t xml:space="preserve"> </w:t>
      </w:r>
      <w:r>
        <w:t>an die Öff</w:t>
      </w:r>
      <w:r w:rsidR="00C96DF8">
        <w:t>entlichkeit. Nahezu drei Jahre h</w:t>
      </w:r>
      <w:r>
        <w:t>atten Experten verschiedenster Länder und Disziplinen an dem ca. 350 seitigen Bericht gearbe</w:t>
      </w:r>
      <w:r w:rsidR="00C96DF8">
        <w:t>itet.</w:t>
      </w:r>
      <w:r w:rsidR="00C96DF8">
        <w:br/>
      </w:r>
      <w:proofErr w:type="spellStart"/>
      <w:r w:rsidR="00C96DF8" w:rsidRPr="003C0CB4">
        <w:rPr>
          <w:lang w:val="en-US"/>
        </w:rPr>
        <w:t>Vor</w:t>
      </w:r>
      <w:proofErr w:type="spellEnd"/>
      <w:r w:rsidR="00C96DF8" w:rsidRPr="003C0CB4">
        <w:rPr>
          <w:lang w:val="en-US"/>
        </w:rPr>
        <w:t xml:space="preserve"> </w:t>
      </w:r>
      <w:proofErr w:type="spellStart"/>
      <w:r w:rsidR="00C96DF8" w:rsidRPr="003C0CB4">
        <w:rPr>
          <w:lang w:val="en-US"/>
        </w:rPr>
        <w:t>dem</w:t>
      </w:r>
      <w:proofErr w:type="spellEnd"/>
      <w:r w:rsidR="00C96DF8" w:rsidRPr="003C0CB4">
        <w:rPr>
          <w:lang w:val="en-US"/>
        </w:rPr>
        <w:t xml:space="preserve"> </w:t>
      </w:r>
      <w:proofErr w:type="spellStart"/>
      <w:r w:rsidR="00C96DF8" w:rsidRPr="003C0CB4">
        <w:rPr>
          <w:lang w:val="en-US"/>
        </w:rPr>
        <w:t>Hintergrund</w:t>
      </w:r>
      <w:proofErr w:type="spellEnd"/>
      <w:r w:rsidR="00C96DF8" w:rsidRPr="003C0CB4">
        <w:rPr>
          <w:lang w:val="en-US"/>
        </w:rPr>
        <w:t xml:space="preserve"> der</w:t>
      </w:r>
    </w:p>
    <w:p w:rsidR="006B2BD8" w:rsidRPr="003C0CB4" w:rsidRDefault="00C96DF8">
      <w:pPr>
        <w:rPr>
          <w:lang w:val="en-US"/>
        </w:rPr>
      </w:pPr>
      <w:r w:rsidRPr="003C0CB4">
        <w:rPr>
          <w:lang w:val="en-US"/>
        </w:rPr>
        <w:t>„U</w:t>
      </w:r>
      <w:r w:rsidR="00885A64" w:rsidRPr="003C0CB4">
        <w:rPr>
          <w:lang w:val="en-US"/>
        </w:rPr>
        <w:t>N Convention on the Rights of Persons with Disabilities“,</w:t>
      </w:r>
    </w:p>
    <w:p w:rsidR="00DA2082" w:rsidRDefault="00885A64">
      <w:r w:rsidRPr="003C0CB4">
        <w:rPr>
          <w:lang w:val="en-US"/>
        </w:rPr>
        <w:t xml:space="preserve"> </w:t>
      </w:r>
      <w:r>
        <w:t xml:space="preserve">die 2006 vom Plenum der Vereinten Nationen in New York einhellig angenommen und in der Zwischenzeit von über 100 Ländern ratifiziert und von 70 Ländern in nationalen Recht transferiert wurde, darauf aufbauend will der </w:t>
      </w:r>
      <w:r w:rsidRPr="006B2BD8">
        <w:t xml:space="preserve">„1. World-Report on </w:t>
      </w:r>
      <w:proofErr w:type="spellStart"/>
      <w:r w:rsidRPr="006B2BD8">
        <w:t>Disability</w:t>
      </w:r>
      <w:proofErr w:type="spellEnd"/>
      <w:r w:rsidRPr="006B2BD8">
        <w:t>“</w:t>
      </w:r>
      <w:r>
        <w:t xml:space="preserve"> Sachstand und Anweisung für globale, nationale regionale und</w:t>
      </w:r>
      <w:r w:rsidR="006B2BD8">
        <w:t xml:space="preserve"> individuelle Umsetzung sein.</w:t>
      </w:r>
      <w:r w:rsidR="006B2BD8">
        <w:br/>
        <w:t>Er</w:t>
      </w:r>
      <w:r>
        <w:t xml:space="preserve"> liegt leider noch nicht in deutscher Übersetzung</w:t>
      </w:r>
      <w:r w:rsidR="00DA2082">
        <w:t xml:space="preserve"> vor. D</w:t>
      </w:r>
      <w:r>
        <w:t>eutsch ist keine UN-Sprache</w:t>
      </w:r>
      <w:proofErr w:type="gramStart"/>
      <w:r w:rsidR="00DA2082">
        <w:t>!-</w:t>
      </w:r>
      <w:proofErr w:type="gramEnd"/>
      <w:r w:rsidR="00DA2082">
        <w:t>D</w:t>
      </w:r>
      <w:r>
        <w:t>aher verzeihen Sie mir, wenn die nachfolgenden Zitate in Englisch sein werden!</w:t>
      </w:r>
      <w:r>
        <w:br/>
        <w:t>Sicher ist es von herausragender Bedeutung, dass gerade die WHO und die Weltbank sich zusammen gefunden haben, um sich mit diesem –wahrlich nicht im gesellschaftlichen Zentrum stehenden!- Thema auseinander</w:t>
      </w:r>
      <w:r w:rsidR="00B306CD">
        <w:t xml:space="preserve"> zu setzen, ist es doch Ausdruck dafür, dass die Verantwortlichen erk</w:t>
      </w:r>
      <w:r w:rsidR="00DA2082">
        <w:t>annt zu haben scheinen, dass wir</w:t>
      </w:r>
      <w:r w:rsidR="00B306CD">
        <w:t xml:space="preserve"> es hier nicht mit einer </w:t>
      </w:r>
      <w:r w:rsidR="00B306CD">
        <w:rPr>
          <w:noProof/>
        </w:rPr>
        <w:t>quantit</w:t>
      </w:r>
      <w:r w:rsidR="00DA2082">
        <w:rPr>
          <w:noProof/>
        </w:rPr>
        <w:t>é</w:t>
      </w:r>
      <w:r w:rsidR="00C96DF8">
        <w:rPr>
          <w:noProof/>
        </w:rPr>
        <w:t xml:space="preserve"> negligeable</w:t>
      </w:r>
      <w:r w:rsidR="00B306CD">
        <w:t xml:space="preserve"> zu tun haben, die das persönliche Umfeld nicht verlässt und daher vom</w:t>
      </w:r>
      <w:r w:rsidR="00C96DF8">
        <w:t xml:space="preserve"> Einzelnen</w:t>
      </w:r>
      <w:r w:rsidR="00B306CD">
        <w:t xml:space="preserve"> und seiner mehr oder weniger sensibilisierten, aufmerksamen und hilfreichen Umgebung lebenslang zu er</w:t>
      </w:r>
      <w:r w:rsidR="00DA2082">
        <w:t>-</w:t>
      </w:r>
      <w:r w:rsidR="00B306CD">
        <w:t>leben ist.</w:t>
      </w:r>
    </w:p>
    <w:p w:rsidR="00DA2082" w:rsidRDefault="00B306CD">
      <w:pPr>
        <w:rPr>
          <w:lang w:val="en-US"/>
        </w:rPr>
      </w:pPr>
      <w:r>
        <w:br/>
        <w:t xml:space="preserve">Nein –hier wird evident, was bereits in dem einleitenden Worten des Berichtes vehementen Ausdruck findet. </w:t>
      </w:r>
      <w:r w:rsidRPr="00B306CD">
        <w:rPr>
          <w:lang w:val="en-US"/>
        </w:rPr>
        <w:t>„More than o</w:t>
      </w:r>
      <w:r w:rsidR="00DA2082">
        <w:rPr>
          <w:lang w:val="en-US"/>
        </w:rPr>
        <w:t>ne billion people in the w</w:t>
      </w:r>
      <w:r w:rsidRPr="00B306CD">
        <w:rPr>
          <w:lang w:val="en-US"/>
        </w:rPr>
        <w:t xml:space="preserve">orld live with some form of disability, of </w:t>
      </w:r>
      <w:proofErr w:type="gramStart"/>
      <w:r w:rsidRPr="00B306CD">
        <w:rPr>
          <w:lang w:val="en-US"/>
        </w:rPr>
        <w:t>who</w:t>
      </w:r>
      <w:r w:rsidR="00DA2082">
        <w:rPr>
          <w:lang w:val="en-US"/>
        </w:rPr>
        <w:t>m</w:t>
      </w:r>
      <w:proofErr w:type="gramEnd"/>
      <w:r w:rsidRPr="00B306CD">
        <w:rPr>
          <w:lang w:val="en-US"/>
        </w:rPr>
        <w:t xml:space="preserve"> nearly 200 Million experience considerable difficulties in function</w:t>
      </w:r>
      <w:r>
        <w:rPr>
          <w:lang w:val="en-US"/>
        </w:rPr>
        <w:t>ing.”</w:t>
      </w:r>
    </w:p>
    <w:p w:rsidR="00DA2082" w:rsidRPr="003C0CB4" w:rsidRDefault="00B306CD">
      <w:r w:rsidRPr="003C0CB4">
        <w:br/>
        <w:t xml:space="preserve">Ich darf einschieben: das sind 15% der Weltbevölkerung, 1970 hatte WHO noch 10% </w:t>
      </w:r>
      <w:r w:rsidR="007C5BE8" w:rsidRPr="003C0CB4">
        <w:t>prognostiziert</w:t>
      </w:r>
      <w:r w:rsidR="00DA2082" w:rsidRPr="003C0CB4">
        <w:t>!</w:t>
      </w:r>
    </w:p>
    <w:p w:rsidR="00DA2082" w:rsidRDefault="00DA2082">
      <w:pPr>
        <w:rPr>
          <w:lang w:val="en-US"/>
        </w:rPr>
      </w:pPr>
      <w:r>
        <w:rPr>
          <w:lang w:val="en-US"/>
        </w:rPr>
        <w:t>-„I</w:t>
      </w:r>
      <w:r w:rsidR="00B306CD" w:rsidRPr="00BF1BAC">
        <w:rPr>
          <w:lang w:val="en-US"/>
        </w:rPr>
        <w:t xml:space="preserve">n the years ahead, disability will </w:t>
      </w:r>
      <w:r w:rsidR="007C5BE8" w:rsidRPr="00BF1BAC">
        <w:rPr>
          <w:lang w:val="en-US"/>
        </w:rPr>
        <w:t>be</w:t>
      </w:r>
      <w:r w:rsidR="00B306CD" w:rsidRPr="00BF1BAC">
        <w:rPr>
          <w:lang w:val="en-US"/>
        </w:rPr>
        <w:t xml:space="preserve"> an even greater</w:t>
      </w:r>
      <w:r w:rsidR="007C5BE8" w:rsidRPr="00BF1BAC">
        <w:rPr>
          <w:lang w:val="en-US"/>
        </w:rPr>
        <w:t xml:space="preserve"> concern, because i</w:t>
      </w:r>
      <w:r>
        <w:rPr>
          <w:lang w:val="en-US"/>
        </w:rPr>
        <w:t>t</w:t>
      </w:r>
      <w:r w:rsidR="007C5BE8" w:rsidRPr="00BF1BAC">
        <w:rPr>
          <w:lang w:val="en-US"/>
        </w:rPr>
        <w:t xml:space="preserve">s prevalence is on the rise. This is due </w:t>
      </w:r>
      <w:r w:rsidR="00BF1BAC" w:rsidRPr="00BF1BAC">
        <w:rPr>
          <w:lang w:val="en-US"/>
        </w:rPr>
        <w:t xml:space="preserve">to ageing populations and the higher risk of disability in older people as well as the global increase in chronic health conditions such as </w:t>
      </w:r>
      <w:r w:rsidR="00982EC5" w:rsidRPr="00BF1BAC">
        <w:rPr>
          <w:lang w:val="en-US"/>
        </w:rPr>
        <w:t>dia</w:t>
      </w:r>
      <w:r w:rsidR="00982EC5">
        <w:rPr>
          <w:lang w:val="en-US"/>
        </w:rPr>
        <w:t>betes</w:t>
      </w:r>
      <w:r w:rsidR="00BF1BAC" w:rsidRPr="00BF1BAC">
        <w:rPr>
          <w:lang w:val="en-US"/>
        </w:rPr>
        <w:t>, cardiovascular disease, cancer and mental health disorder. Across the world</w:t>
      </w:r>
      <w:r>
        <w:rPr>
          <w:lang w:val="en-US"/>
        </w:rPr>
        <w:t>, people with disabilities have</w:t>
      </w:r>
      <w:r w:rsidR="00BF1BAC" w:rsidRPr="00BF1BAC">
        <w:rPr>
          <w:lang w:val="en-US"/>
        </w:rPr>
        <w:t xml:space="preserve"> poorer health </w:t>
      </w:r>
      <w:r w:rsidR="00BF1BAC">
        <w:rPr>
          <w:lang w:val="en-US"/>
        </w:rPr>
        <w:t>outcome, lower education achievements, less economic participation an</w:t>
      </w:r>
      <w:r>
        <w:rPr>
          <w:lang w:val="en-US"/>
        </w:rPr>
        <w:t>d</w:t>
      </w:r>
      <w:r w:rsidR="00BF1BAC">
        <w:rPr>
          <w:lang w:val="en-US"/>
        </w:rPr>
        <w:t xml:space="preserve"> higher rates of poverty than people without disabilitie</w:t>
      </w:r>
      <w:r>
        <w:rPr>
          <w:lang w:val="en-US"/>
        </w:rPr>
        <w:t>s. T</w:t>
      </w:r>
      <w:r w:rsidR="00BF1BAC">
        <w:rPr>
          <w:lang w:val="en-US"/>
        </w:rPr>
        <w:t>his is partly because people with disabilities experience barriers in accessing services that many of us have long taken for granted, including health, education, employment, an</w:t>
      </w:r>
      <w:r>
        <w:rPr>
          <w:lang w:val="en-US"/>
        </w:rPr>
        <w:t>d</w:t>
      </w:r>
      <w:r w:rsidR="00BF1BAC">
        <w:rPr>
          <w:lang w:val="en-US"/>
        </w:rPr>
        <w:t xml:space="preserve"> transport as well as information. These difficulties are exacerbated in less advantaged countries”, </w:t>
      </w:r>
      <w:r w:rsidR="00982EC5" w:rsidRPr="00982EC5">
        <w:rPr>
          <w:lang w:val="en-US"/>
        </w:rPr>
        <w:t>so das</w:t>
      </w:r>
      <w:r w:rsidR="00982EC5">
        <w:rPr>
          <w:lang w:val="en-US"/>
        </w:rPr>
        <w:t xml:space="preserve"> </w:t>
      </w:r>
      <w:proofErr w:type="spellStart"/>
      <w:r w:rsidR="00982EC5" w:rsidRPr="006B2BD8">
        <w:rPr>
          <w:lang w:val="en-US"/>
        </w:rPr>
        <w:t>einleitende</w:t>
      </w:r>
      <w:proofErr w:type="spellEnd"/>
      <w:r w:rsidR="00982EC5" w:rsidRPr="006B2BD8">
        <w:rPr>
          <w:lang w:val="en-US"/>
        </w:rPr>
        <w:t xml:space="preserve"> Statement der </w:t>
      </w:r>
      <w:proofErr w:type="spellStart"/>
      <w:r w:rsidR="00982EC5" w:rsidRPr="006B2BD8">
        <w:rPr>
          <w:lang w:val="en-US"/>
        </w:rPr>
        <w:t>beiden</w:t>
      </w:r>
      <w:proofErr w:type="spellEnd"/>
      <w:r w:rsidR="00982EC5" w:rsidRPr="006B2BD8">
        <w:rPr>
          <w:lang w:val="en-US"/>
        </w:rPr>
        <w:t xml:space="preserve"> </w:t>
      </w:r>
      <w:proofErr w:type="spellStart"/>
      <w:r w:rsidR="00982EC5" w:rsidRPr="006B2BD8">
        <w:rPr>
          <w:lang w:val="en-US"/>
        </w:rPr>
        <w:t>Präsidenten</w:t>
      </w:r>
      <w:proofErr w:type="spellEnd"/>
      <w:r w:rsidR="00982EC5" w:rsidRPr="006B2BD8">
        <w:rPr>
          <w:lang w:val="en-US"/>
        </w:rPr>
        <w:t>.</w:t>
      </w:r>
    </w:p>
    <w:p w:rsidR="00DA2082" w:rsidRDefault="00982EC5">
      <w:r w:rsidRPr="003C0CB4">
        <w:br/>
      </w:r>
      <w:r w:rsidR="00DA2082">
        <w:t>Wenn hier</w:t>
      </w:r>
      <w:r w:rsidRPr="00982EC5">
        <w:t xml:space="preserve"> </w:t>
      </w:r>
      <w:r>
        <w:t>zwei traditionell sich wenig berührende Weltorganisationen gemeinsame Problemstellungen auf unser</w:t>
      </w:r>
      <w:r w:rsidR="00DA2082">
        <w:t>e</w:t>
      </w:r>
      <w:r>
        <w:t>m Globus erkennen, dann ist dies Ausdruck dafür, dass diese Randgruppe „Behindere Menschen / Menschen mit Behinderungen“ eine Dimension erreicht hat, die über sozial</w:t>
      </w:r>
      <w:r w:rsidR="00DA2082">
        <w:t>-, bildungs- und beschäftigungs</w:t>
      </w:r>
      <w:r>
        <w:t>spezifische Aspekte hinweg zu einer dramatischen ökonomischen Größe der Weltgemeinschaft anzuwachsen droht.</w:t>
      </w:r>
      <w:r>
        <w:br/>
        <w:t>Anscheinend hat die Politik erkannt, dass die „</w:t>
      </w:r>
      <w:proofErr w:type="spellStart"/>
      <w:r w:rsidRPr="006B2BD8">
        <w:t>Rights</w:t>
      </w:r>
      <w:proofErr w:type="spellEnd"/>
      <w:r w:rsidRPr="006B2BD8">
        <w:t xml:space="preserve"> </w:t>
      </w:r>
      <w:proofErr w:type="spellStart"/>
      <w:r w:rsidRPr="006B2BD8">
        <w:t>of</w:t>
      </w:r>
      <w:proofErr w:type="spellEnd"/>
      <w:r w:rsidRPr="006B2BD8">
        <w:t xml:space="preserve"> </w:t>
      </w:r>
      <w:proofErr w:type="spellStart"/>
      <w:r w:rsidRPr="006B2BD8">
        <w:t>Persons</w:t>
      </w:r>
      <w:proofErr w:type="spellEnd"/>
      <w:r w:rsidRPr="006B2BD8">
        <w:t xml:space="preserve"> </w:t>
      </w:r>
      <w:proofErr w:type="spellStart"/>
      <w:r w:rsidRPr="006B2BD8">
        <w:t>with</w:t>
      </w:r>
      <w:proofErr w:type="spellEnd"/>
      <w:r w:rsidRPr="006B2BD8">
        <w:t xml:space="preserve"> </w:t>
      </w:r>
      <w:proofErr w:type="spellStart"/>
      <w:r w:rsidRPr="006B2BD8">
        <w:t>Disabilities</w:t>
      </w:r>
      <w:proofErr w:type="spellEnd"/>
      <w:r w:rsidRPr="006B2BD8">
        <w:t>”</w:t>
      </w:r>
      <w:r>
        <w:t xml:space="preserve"> ein</w:t>
      </w:r>
      <w:r w:rsidR="00DA2082">
        <w:t>her</w:t>
      </w:r>
      <w:r>
        <w:t>gehen müssen mit der Förderung, Entwicklung und Umsetzung von „</w:t>
      </w:r>
      <w:proofErr w:type="spellStart"/>
      <w:r w:rsidRPr="006B2BD8">
        <w:t>Abilities</w:t>
      </w:r>
      <w:proofErr w:type="spellEnd"/>
      <w:r w:rsidRPr="006B2BD8">
        <w:t>”,</w:t>
      </w:r>
      <w:r>
        <w:t xml:space="preserve"> die entscheidend zu wirtschaft</w:t>
      </w:r>
      <w:r w:rsidR="00135FFA">
        <w:t>licher Stabilität und Wohlfahrt</w:t>
      </w:r>
      <w:r w:rsidR="00240D5B">
        <w:t xml:space="preserve"> der Einzelnen wie der Gesellschaft</w:t>
      </w:r>
      <w:r w:rsidR="00135FFA">
        <w:t xml:space="preserve"> beitragen können.</w:t>
      </w:r>
    </w:p>
    <w:p w:rsidR="0051179A" w:rsidRDefault="00135FFA">
      <w:pPr>
        <w:rPr>
          <w:lang w:val="en-US"/>
        </w:rPr>
      </w:pPr>
      <w:r w:rsidRPr="003C0CB4">
        <w:rPr>
          <w:lang w:val="en-US"/>
        </w:rPr>
        <w:br/>
      </w:r>
      <w:r w:rsidRPr="006B2BD8">
        <w:rPr>
          <w:lang w:val="en-US"/>
        </w:rPr>
        <w:t xml:space="preserve">In </w:t>
      </w:r>
      <w:proofErr w:type="spellStart"/>
      <w:r w:rsidRPr="006B2BD8">
        <w:rPr>
          <w:lang w:val="en-US"/>
        </w:rPr>
        <w:t>diesem</w:t>
      </w:r>
      <w:proofErr w:type="spellEnd"/>
      <w:r w:rsidRPr="006B2BD8">
        <w:rPr>
          <w:lang w:val="en-US"/>
        </w:rPr>
        <w:t xml:space="preserve"> </w:t>
      </w:r>
      <w:proofErr w:type="spellStart"/>
      <w:r w:rsidRPr="006B2BD8">
        <w:rPr>
          <w:lang w:val="en-US"/>
        </w:rPr>
        <w:t>Sinne</w:t>
      </w:r>
      <w:proofErr w:type="spellEnd"/>
      <w:r w:rsidRPr="006B2BD8">
        <w:rPr>
          <w:lang w:val="en-US"/>
        </w:rPr>
        <w:t xml:space="preserve"> </w:t>
      </w:r>
      <w:proofErr w:type="spellStart"/>
      <w:r w:rsidRPr="006B2BD8">
        <w:rPr>
          <w:lang w:val="en-US"/>
        </w:rPr>
        <w:t>ist</w:t>
      </w:r>
      <w:proofErr w:type="spellEnd"/>
      <w:r w:rsidRPr="006B2BD8">
        <w:rPr>
          <w:lang w:val="en-US"/>
        </w:rPr>
        <w:t xml:space="preserve"> das </w:t>
      </w:r>
      <w:proofErr w:type="spellStart"/>
      <w:r w:rsidRPr="006B2BD8">
        <w:rPr>
          <w:lang w:val="en-US"/>
        </w:rPr>
        <w:t>Grußwort</w:t>
      </w:r>
      <w:proofErr w:type="spellEnd"/>
      <w:r w:rsidRPr="006B2BD8">
        <w:rPr>
          <w:lang w:val="en-US"/>
        </w:rPr>
        <w:t xml:space="preserve"> von Stephan w. Hawking </w:t>
      </w:r>
      <w:proofErr w:type="spellStart"/>
      <w:r w:rsidRPr="006B2BD8">
        <w:rPr>
          <w:lang w:val="en-US"/>
        </w:rPr>
        <w:t>zu</w:t>
      </w:r>
      <w:proofErr w:type="spellEnd"/>
      <w:r w:rsidRPr="006B2BD8">
        <w:rPr>
          <w:lang w:val="en-US"/>
        </w:rPr>
        <w:t xml:space="preserve"> </w:t>
      </w:r>
      <w:proofErr w:type="spellStart"/>
      <w:r w:rsidRPr="006B2BD8">
        <w:rPr>
          <w:lang w:val="en-US"/>
        </w:rPr>
        <w:t>verstehe</w:t>
      </w:r>
      <w:proofErr w:type="spellEnd"/>
      <w:r w:rsidRPr="006B2BD8">
        <w:rPr>
          <w:lang w:val="en-US"/>
        </w:rPr>
        <w:t xml:space="preserve">, der </w:t>
      </w:r>
      <w:proofErr w:type="spellStart"/>
      <w:r w:rsidRPr="006B2BD8">
        <w:rPr>
          <w:lang w:val="en-US"/>
        </w:rPr>
        <w:t>betont</w:t>
      </w:r>
      <w:proofErr w:type="spellEnd"/>
      <w:proofErr w:type="gramStart"/>
      <w:r w:rsidRPr="006B2BD8">
        <w:rPr>
          <w:lang w:val="en-US"/>
        </w:rPr>
        <w:t>:</w:t>
      </w:r>
      <w:proofErr w:type="gramEnd"/>
      <w:r w:rsidRPr="006B2BD8">
        <w:rPr>
          <w:lang w:val="en-US"/>
        </w:rPr>
        <w:br/>
      </w:r>
      <w:r>
        <w:rPr>
          <w:lang w:val="en-US"/>
        </w:rPr>
        <w:t>“It is my</w:t>
      </w:r>
      <w:r w:rsidR="00DA2082">
        <w:rPr>
          <w:lang w:val="en-US"/>
        </w:rPr>
        <w:t xml:space="preserve"> hope that, beginning with the “</w:t>
      </w:r>
      <w:r>
        <w:rPr>
          <w:lang w:val="en-US"/>
        </w:rPr>
        <w:t>UN Convention on the Rights of Persons with Disabilities” and now with the publication of the “1</w:t>
      </w:r>
      <w:r w:rsidRPr="00135FFA">
        <w:rPr>
          <w:vertAlign w:val="superscript"/>
          <w:lang w:val="en-US"/>
        </w:rPr>
        <w:t>st</w:t>
      </w:r>
      <w:r>
        <w:rPr>
          <w:lang w:val="en-US"/>
        </w:rPr>
        <w:t xml:space="preserve"> World Report on Disability” this century will mark a turning point for inclusion of people with disabilities in the lives of their societies.”</w:t>
      </w:r>
    </w:p>
    <w:p w:rsidR="00A14B5E" w:rsidRDefault="00135FFA">
      <w:r w:rsidRPr="003C0CB4">
        <w:br/>
      </w:r>
      <w:r>
        <w:t>Und es ist dieser Begriff von „Inklusion“ der aus dem angloamerikanischen</w:t>
      </w:r>
      <w:r w:rsidR="0051179A">
        <w:t xml:space="preserve"> Raum</w:t>
      </w:r>
      <w:r>
        <w:t xml:space="preserve"> kommend allmählich auch im deutschsprachigen an Bekanntheit erlangt. (</w:t>
      </w:r>
      <w:proofErr w:type="spellStart"/>
      <w:r>
        <w:t>S</w:t>
      </w:r>
      <w:r w:rsidR="0051179A">
        <w:t>ta</w:t>
      </w:r>
      <w:r>
        <w:t>inbeck</w:t>
      </w:r>
      <w:proofErr w:type="spellEnd"/>
      <w:r>
        <w:t>, Mittler, Hinz, Sander)</w:t>
      </w:r>
      <w:r w:rsidR="00240D5B">
        <w:t>.</w:t>
      </w:r>
      <w:r w:rsidR="00240D5B">
        <w:br/>
        <w:t>Über den Integrationsbegriff hinausgehen</w:t>
      </w:r>
      <w:r w:rsidR="0051179A">
        <w:t>d</w:t>
      </w:r>
      <w:r w:rsidR="00240D5B">
        <w:t xml:space="preserve"> meint Inklusion</w:t>
      </w:r>
    </w:p>
    <w:p w:rsidR="00240D5B" w:rsidRDefault="0051179A" w:rsidP="00240D5B">
      <w:pPr>
        <w:pStyle w:val="Listenabsatz"/>
        <w:numPr>
          <w:ilvl w:val="0"/>
          <w:numId w:val="1"/>
        </w:numPr>
      </w:pPr>
      <w:r>
        <w:t>u</w:t>
      </w:r>
      <w:r w:rsidR="00164B7C">
        <w:t>ntrennbare heterogene Lebens-, L</w:t>
      </w:r>
      <w:r w:rsidR="00240D5B">
        <w:t>ern- und Arbeitsumgebung</w:t>
      </w:r>
    </w:p>
    <w:p w:rsidR="00240D5B" w:rsidRDefault="0051179A" w:rsidP="00240D5B">
      <w:pPr>
        <w:pStyle w:val="Listenabsatz"/>
        <w:numPr>
          <w:ilvl w:val="0"/>
          <w:numId w:val="1"/>
        </w:numPr>
      </w:pPr>
      <w:r>
        <w:t>N</w:t>
      </w:r>
      <w:r w:rsidR="00240D5B">
        <w:t>icht die Dualität von Behinderung und Nichtbehi</w:t>
      </w:r>
      <w:r>
        <w:t>nderung steht im Mittelpunkt, vielmehr</w:t>
      </w:r>
      <w:r w:rsidR="00240D5B">
        <w:t xml:space="preserve"> werden viele Dimensionen vorhandener Heterogenität zusammen gedacht und umgesetzt, wie </w:t>
      </w:r>
      <w:r>
        <w:t>Geschlechterrollen, sprachlich-</w:t>
      </w:r>
      <w:r w:rsidR="00240D5B">
        <w:t>kulturelle und ethnische Hintergründe, soziale Milieus, politisch-religiöse Überzeugungen und deren Möglichkeiten wie Einschränkungen</w:t>
      </w:r>
    </w:p>
    <w:p w:rsidR="00240D5B" w:rsidRDefault="00240D5B" w:rsidP="00240D5B">
      <w:pPr>
        <w:pStyle w:val="Listenabsatz"/>
        <w:numPr>
          <w:ilvl w:val="0"/>
          <w:numId w:val="1"/>
        </w:numPr>
      </w:pPr>
      <w:r>
        <w:t>Jede Person ist ein wichtiges Mitglied der Gemeinschaft mit seinem graduell unterschiedlich ein</w:t>
      </w:r>
      <w:r w:rsidR="0051179A">
        <w:t xml:space="preserve">zubringenden, </w:t>
      </w:r>
      <w:r>
        <w:t>zu akzeptierenden und zu implementierenden Ressourcen.</w:t>
      </w:r>
    </w:p>
    <w:p w:rsidR="0051179A" w:rsidRDefault="00240D5B">
      <w:r>
        <w:t>Mit diesem Report werden die vielen Verlautbarungen, Erklärungen,</w:t>
      </w:r>
      <w:r w:rsidR="00164B7C" w:rsidRPr="006B2BD8">
        <w:t xml:space="preserve"> Guidelines</w:t>
      </w:r>
      <w:r>
        <w:t xml:space="preserve"> und Empfehlungen vergangener Jahre als</w:t>
      </w:r>
      <w:r w:rsidR="0051179A">
        <w:t xml:space="preserve"> kurz</w:t>
      </w:r>
      <w:r w:rsidR="00A17742">
        <w:t>atmiges liebenswertes Sonntagsredenfutter entkleidet.</w:t>
      </w:r>
    </w:p>
    <w:p w:rsidR="00240D5B" w:rsidRDefault="00A17742">
      <w:r>
        <w:br/>
        <w:t xml:space="preserve">Von </w:t>
      </w:r>
      <w:r w:rsidRPr="006B2BD8">
        <w:t xml:space="preserve">„American </w:t>
      </w:r>
      <w:proofErr w:type="spellStart"/>
      <w:r w:rsidRPr="006B2BD8">
        <w:t>with</w:t>
      </w:r>
      <w:proofErr w:type="spellEnd"/>
      <w:r w:rsidRPr="006B2BD8">
        <w:t xml:space="preserve"> </w:t>
      </w:r>
      <w:proofErr w:type="spellStart"/>
      <w:r w:rsidRPr="006B2BD8">
        <w:t>Disabilities</w:t>
      </w:r>
      <w:proofErr w:type="spellEnd"/>
      <w:r w:rsidRPr="006B2BD8">
        <w:t xml:space="preserve"> </w:t>
      </w:r>
      <w:proofErr w:type="spellStart"/>
      <w:r w:rsidRPr="006B2BD8">
        <w:t>Act</w:t>
      </w:r>
      <w:proofErr w:type="spellEnd"/>
      <w:r w:rsidRPr="006B2BD8">
        <w:t xml:space="preserve"> “ </w:t>
      </w:r>
      <w:r w:rsidR="0051179A">
        <w:t>(</w:t>
      </w:r>
      <w:r w:rsidRPr="006B2BD8">
        <w:t>ADA</w:t>
      </w:r>
      <w:r w:rsidR="0051179A">
        <w:t>)</w:t>
      </w:r>
      <w:r w:rsidRPr="006B2BD8">
        <w:t xml:space="preserve"> </w:t>
      </w:r>
      <w:r w:rsidR="0051179A">
        <w:t>des Jahre 1990</w:t>
      </w:r>
      <w:r>
        <w:t xml:space="preserve"> über die </w:t>
      </w:r>
      <w:r w:rsidR="0051179A">
        <w:t xml:space="preserve">„UN Millennium </w:t>
      </w:r>
      <w:proofErr w:type="spellStart"/>
      <w:r w:rsidR="0051179A">
        <w:t>Declaration</w:t>
      </w:r>
      <w:proofErr w:type="spellEnd"/>
      <w:r w:rsidR="0051179A">
        <w:t xml:space="preserve"> (</w:t>
      </w:r>
      <w:r w:rsidRPr="006B2BD8">
        <w:t xml:space="preserve">2000) </w:t>
      </w:r>
      <w:r w:rsidR="0051179A">
        <w:t xml:space="preserve">bis zur „Digitalen Agenda für Europa“ (2010)- - </w:t>
      </w:r>
      <w:r>
        <w:t xml:space="preserve">mit dem </w:t>
      </w:r>
      <w:r w:rsidRPr="006B2BD8">
        <w:t xml:space="preserve">„1. World Report on </w:t>
      </w:r>
      <w:proofErr w:type="spellStart"/>
      <w:r w:rsidRPr="006B2BD8">
        <w:t>Disability</w:t>
      </w:r>
      <w:proofErr w:type="spellEnd"/>
      <w:r w:rsidRPr="006B2BD8">
        <w:t xml:space="preserve">” </w:t>
      </w:r>
      <w:r>
        <w:t>wird definitiv ein Meilenstein gesetzt, dem der Vorstand der „Aktion Mensch“, Martin Georg, eine – ich zitiere-</w:t>
      </w:r>
      <w:r w:rsidR="0051179A">
        <w:t xml:space="preserve"> </w:t>
      </w:r>
      <w:r>
        <w:t>„enorme politische Sprengkraft“ zuordnet.</w:t>
      </w:r>
    </w:p>
    <w:p w:rsidR="00A17742" w:rsidRDefault="00A17742">
      <w:r>
        <w:t>Ohne mit Folgendem auf den Bericht in Einzelnen näher einzugehen, möchte ich Sie, jedoch auf dessen überzeugendes didaktisches Konzept hinweisen: Der Bericht schließt nach einer ausführlichen Analyse der unterschiedlichste</w:t>
      </w:r>
      <w:r w:rsidR="0051179A">
        <w:t xml:space="preserve">n Themenfelder erst einmal mit neun </w:t>
      </w:r>
      <w:r>
        <w:t xml:space="preserve"> </w:t>
      </w:r>
      <w:r w:rsidR="0051179A">
        <w:t>„</w:t>
      </w:r>
      <w:proofErr w:type="spellStart"/>
      <w:r w:rsidR="0051179A">
        <w:t>R</w:t>
      </w:r>
      <w:r w:rsidRPr="006B2BD8">
        <w:t>ecommendations</w:t>
      </w:r>
      <w:proofErr w:type="spellEnd"/>
      <w:r w:rsidR="0051179A">
        <w:t>“</w:t>
      </w:r>
      <w:r w:rsidRPr="006B2BD8">
        <w:t xml:space="preserve"> </w:t>
      </w:r>
      <w:r>
        <w:t>ab.</w:t>
      </w:r>
    </w:p>
    <w:p w:rsidR="00A17742" w:rsidRPr="00E26B44" w:rsidRDefault="00E26B44" w:rsidP="00E26B44">
      <w:pPr>
        <w:pStyle w:val="Listenabsatz"/>
        <w:numPr>
          <w:ilvl w:val="0"/>
          <w:numId w:val="2"/>
        </w:numPr>
        <w:rPr>
          <w:lang w:val="en-US"/>
        </w:rPr>
      </w:pPr>
      <w:r w:rsidRPr="00E26B44">
        <w:rPr>
          <w:lang w:val="en-US"/>
        </w:rPr>
        <w:t>enable access to all mainstream systems and services</w:t>
      </w:r>
    </w:p>
    <w:p w:rsidR="00E26B44" w:rsidRPr="00E26B44" w:rsidRDefault="00E26B44" w:rsidP="00E26B44">
      <w:pPr>
        <w:pStyle w:val="Listenabsatz"/>
        <w:numPr>
          <w:ilvl w:val="0"/>
          <w:numId w:val="2"/>
        </w:numPr>
        <w:rPr>
          <w:lang w:val="en-US"/>
        </w:rPr>
      </w:pPr>
      <w:r w:rsidRPr="00E26B44">
        <w:rPr>
          <w:lang w:val="en-US"/>
        </w:rPr>
        <w:t xml:space="preserve">invert in specific </w:t>
      </w:r>
      <w:proofErr w:type="spellStart"/>
      <w:r w:rsidR="0051179A">
        <w:rPr>
          <w:lang w:val="en-US"/>
        </w:rPr>
        <w:t>programmes</w:t>
      </w:r>
      <w:proofErr w:type="spellEnd"/>
      <w:r w:rsidRPr="00E26B44">
        <w:rPr>
          <w:lang w:val="en-US"/>
        </w:rPr>
        <w:t xml:space="preserve"> and services for people with disabilities</w:t>
      </w:r>
    </w:p>
    <w:p w:rsidR="00E26B44" w:rsidRPr="00E26B44" w:rsidRDefault="00E26B44" w:rsidP="00E26B44">
      <w:pPr>
        <w:pStyle w:val="Listenabsatz"/>
        <w:numPr>
          <w:ilvl w:val="0"/>
          <w:numId w:val="2"/>
        </w:numPr>
        <w:rPr>
          <w:lang w:val="en-US"/>
        </w:rPr>
      </w:pPr>
      <w:r w:rsidRPr="00E26B44">
        <w:rPr>
          <w:lang w:val="en-US"/>
        </w:rPr>
        <w:t>adopt a national disability strategy an</w:t>
      </w:r>
      <w:r w:rsidR="0051179A">
        <w:rPr>
          <w:lang w:val="en-US"/>
        </w:rPr>
        <w:t>d</w:t>
      </w:r>
      <w:r w:rsidRPr="00E26B44">
        <w:rPr>
          <w:lang w:val="en-US"/>
        </w:rPr>
        <w:t xml:space="preserve"> plan of action</w:t>
      </w:r>
    </w:p>
    <w:p w:rsidR="00E26B44" w:rsidRPr="00E26B44" w:rsidRDefault="00E26B44" w:rsidP="00E26B44">
      <w:pPr>
        <w:pStyle w:val="Listenabsatz"/>
        <w:numPr>
          <w:ilvl w:val="0"/>
          <w:numId w:val="2"/>
        </w:numPr>
        <w:rPr>
          <w:lang w:val="en-US"/>
        </w:rPr>
      </w:pPr>
      <w:r w:rsidRPr="00E26B44">
        <w:rPr>
          <w:lang w:val="en-US"/>
        </w:rPr>
        <w:t>involve people with disabilities</w:t>
      </w:r>
    </w:p>
    <w:p w:rsidR="00E26B44" w:rsidRPr="00E26B44" w:rsidRDefault="00E26B44" w:rsidP="00E26B44">
      <w:pPr>
        <w:pStyle w:val="Listenabsatz"/>
        <w:numPr>
          <w:ilvl w:val="0"/>
          <w:numId w:val="2"/>
        </w:numPr>
        <w:rPr>
          <w:lang w:val="en-US"/>
        </w:rPr>
      </w:pPr>
      <w:r w:rsidRPr="00E26B44">
        <w:rPr>
          <w:lang w:val="en-US"/>
        </w:rPr>
        <w:t>improve human resource capacity</w:t>
      </w:r>
    </w:p>
    <w:p w:rsidR="00E26B44" w:rsidRPr="00E26B44" w:rsidRDefault="00E26B44" w:rsidP="00E26B44">
      <w:pPr>
        <w:pStyle w:val="Listenabsatz"/>
        <w:numPr>
          <w:ilvl w:val="0"/>
          <w:numId w:val="2"/>
        </w:numPr>
        <w:rPr>
          <w:lang w:val="en-US"/>
        </w:rPr>
      </w:pPr>
      <w:r w:rsidRPr="00E26B44">
        <w:rPr>
          <w:lang w:val="en-US"/>
        </w:rPr>
        <w:t>provide adequate funding and improve affordability</w:t>
      </w:r>
    </w:p>
    <w:p w:rsidR="00E26B44" w:rsidRPr="00E26B44" w:rsidRDefault="00E26B44" w:rsidP="00E26B44">
      <w:pPr>
        <w:pStyle w:val="Listenabsatz"/>
        <w:numPr>
          <w:ilvl w:val="0"/>
          <w:numId w:val="2"/>
        </w:numPr>
        <w:rPr>
          <w:lang w:val="en-US"/>
        </w:rPr>
      </w:pPr>
      <w:r w:rsidRPr="00E26B44">
        <w:rPr>
          <w:lang w:val="en-US"/>
        </w:rPr>
        <w:t>increase public awareness and understanding</w:t>
      </w:r>
    </w:p>
    <w:p w:rsidR="00E26B44" w:rsidRPr="00E26B44" w:rsidRDefault="00E26B44" w:rsidP="00E26B44">
      <w:pPr>
        <w:pStyle w:val="Listenabsatz"/>
        <w:numPr>
          <w:ilvl w:val="0"/>
          <w:numId w:val="2"/>
        </w:numPr>
        <w:rPr>
          <w:lang w:val="en-US"/>
        </w:rPr>
      </w:pPr>
      <w:r w:rsidRPr="00E26B44">
        <w:rPr>
          <w:lang w:val="en-US"/>
        </w:rPr>
        <w:t>improve disability data collection</w:t>
      </w:r>
    </w:p>
    <w:p w:rsidR="00E26B44" w:rsidRPr="00E26B44" w:rsidRDefault="00E26B44" w:rsidP="00E26B44">
      <w:pPr>
        <w:pStyle w:val="Listenabsatz"/>
        <w:numPr>
          <w:ilvl w:val="0"/>
          <w:numId w:val="2"/>
        </w:numPr>
        <w:rPr>
          <w:lang w:val="en-US"/>
        </w:rPr>
      </w:pPr>
      <w:r w:rsidRPr="00E26B44">
        <w:rPr>
          <w:lang w:val="en-US"/>
        </w:rPr>
        <w:t>strengthen an</w:t>
      </w:r>
      <w:r w:rsidR="0051179A">
        <w:rPr>
          <w:lang w:val="en-US"/>
        </w:rPr>
        <w:t>d</w:t>
      </w:r>
      <w:r w:rsidRPr="00E26B44">
        <w:rPr>
          <w:lang w:val="en-US"/>
        </w:rPr>
        <w:t xml:space="preserve"> support research on disability</w:t>
      </w:r>
    </w:p>
    <w:p w:rsidR="00E26B44" w:rsidRDefault="00E26B44">
      <w:r>
        <w:t>Dem folgt dann der abschließende Teil „</w:t>
      </w:r>
      <w:proofErr w:type="spellStart"/>
      <w:r w:rsidRPr="006B2BD8">
        <w:t>Translating</w:t>
      </w:r>
      <w:proofErr w:type="spellEnd"/>
      <w:r w:rsidRPr="006B2BD8">
        <w:t xml:space="preserve"> </w:t>
      </w:r>
      <w:proofErr w:type="spellStart"/>
      <w:r w:rsidRPr="006B2BD8">
        <w:t>recommendations</w:t>
      </w:r>
      <w:proofErr w:type="spellEnd"/>
      <w:r w:rsidRPr="006B2BD8">
        <w:t xml:space="preserve"> </w:t>
      </w:r>
      <w:proofErr w:type="spellStart"/>
      <w:r w:rsidRPr="006B2BD8">
        <w:t>into</w:t>
      </w:r>
      <w:proofErr w:type="spellEnd"/>
      <w:r w:rsidRPr="006B2BD8">
        <w:t xml:space="preserve"> </w:t>
      </w:r>
      <w:proofErr w:type="spellStart"/>
      <w:r w:rsidRPr="006B2BD8">
        <w:t>action</w:t>
      </w:r>
      <w:proofErr w:type="spellEnd"/>
      <w:r w:rsidRPr="006B2BD8">
        <w:t>”-</w:t>
      </w:r>
      <w:r>
        <w:br/>
        <w:t xml:space="preserve">und hier wird </w:t>
      </w:r>
      <w:r w:rsidR="00327569">
        <w:t>all denjenigen ein Aufgabenkata</w:t>
      </w:r>
      <w:r>
        <w:t>log zugeordnet, von denen die Autoren ausgehe</w:t>
      </w:r>
      <w:r w:rsidR="0051179A">
        <w:t>n</w:t>
      </w:r>
      <w:r>
        <w:t>, dass sie einen wesentlichen Be</w:t>
      </w:r>
      <w:r w:rsidR="00664EA7">
        <w:t>i</w:t>
      </w:r>
      <w:r>
        <w:t>trag zum Erreichen</w:t>
      </w:r>
      <w:r w:rsidR="00327569">
        <w:t xml:space="preserve"> der gesetzten Ziele</w:t>
      </w:r>
      <w:r w:rsidR="00664EA7">
        <w:t xml:space="preserve"> einbringen</w:t>
      </w:r>
      <w:r w:rsidR="00327569">
        <w:t xml:space="preserve"> können. Die </w:t>
      </w:r>
      <w:proofErr w:type="spellStart"/>
      <w:r w:rsidR="00327569" w:rsidRPr="006B2BD8">
        <w:t>stakeholders</w:t>
      </w:r>
      <w:proofErr w:type="spellEnd"/>
      <w:r w:rsidR="00327569">
        <w:t xml:space="preserve"> werden mit dem Hilfsverb </w:t>
      </w:r>
      <w:r w:rsidR="00327569" w:rsidRPr="006B2BD8">
        <w:t>„</w:t>
      </w:r>
      <w:proofErr w:type="spellStart"/>
      <w:r w:rsidR="00327569" w:rsidRPr="006B2BD8">
        <w:t>can</w:t>
      </w:r>
      <w:proofErr w:type="spellEnd"/>
      <w:r w:rsidR="00327569" w:rsidRPr="006B2BD8">
        <w:t>“</w:t>
      </w:r>
      <w:r w:rsidR="00EA3E75">
        <w:t xml:space="preserve">, das für mich das </w:t>
      </w:r>
      <w:proofErr w:type="spellStart"/>
      <w:r w:rsidR="00EA3E75">
        <w:t>P</w:t>
      </w:r>
      <w:r w:rsidR="00327569">
        <w:t>ostulative</w:t>
      </w:r>
      <w:proofErr w:type="spellEnd"/>
      <w:r w:rsidR="00327569">
        <w:t xml:space="preserve"> eines Obama</w:t>
      </w:r>
      <w:r w:rsidR="00EA3E75">
        <w:t xml:space="preserve"> „</w:t>
      </w:r>
      <w:r w:rsidR="00EA3E75" w:rsidRPr="006B2BD8">
        <w:t>Yes</w:t>
      </w:r>
      <w:r w:rsidR="00327569" w:rsidRPr="006B2BD8">
        <w:t>,</w:t>
      </w:r>
      <w:r w:rsidR="00164B7C">
        <w:t xml:space="preserve"> </w:t>
      </w:r>
      <w:proofErr w:type="spellStart"/>
      <w:r w:rsidR="00327569" w:rsidRPr="006B2BD8">
        <w:t>we</w:t>
      </w:r>
      <w:proofErr w:type="spellEnd"/>
      <w:r w:rsidR="00327569" w:rsidRPr="006B2BD8">
        <w:t xml:space="preserve"> </w:t>
      </w:r>
      <w:proofErr w:type="spellStart"/>
      <w:r w:rsidR="00327569" w:rsidRPr="006B2BD8">
        <w:t>can</w:t>
      </w:r>
      <w:proofErr w:type="spellEnd"/>
      <w:r w:rsidR="00327569" w:rsidRPr="006B2BD8">
        <w:t>!</w:t>
      </w:r>
      <w:r w:rsidR="00EA3E75" w:rsidRPr="006B2BD8">
        <w:t>”</w:t>
      </w:r>
      <w:r w:rsidR="00664EA7">
        <w:t xml:space="preserve"> s</w:t>
      </w:r>
      <w:r w:rsidR="00327569">
        <w:t>uggeriert und dann zu einer Abfolge von Aktionen führt.</w:t>
      </w:r>
    </w:p>
    <w:p w:rsidR="00EA3E75" w:rsidRPr="006B2BD8" w:rsidRDefault="004E63A1" w:rsidP="0083549E">
      <w:pPr>
        <w:pStyle w:val="Pa212"/>
        <w:jc w:val="both"/>
        <w:rPr>
          <w:rFonts w:asciiTheme="minorHAnsi" w:hAnsiTheme="minorHAnsi"/>
          <w:sz w:val="22"/>
          <w:szCs w:val="22"/>
        </w:rPr>
      </w:pPr>
      <w:r w:rsidRPr="006B2BD8">
        <w:rPr>
          <w:rFonts w:asciiTheme="minorHAnsi" w:hAnsiTheme="minorHAnsi"/>
          <w:sz w:val="22"/>
          <w:szCs w:val="22"/>
        </w:rPr>
        <w:t xml:space="preserve">1. </w:t>
      </w:r>
      <w:proofErr w:type="spellStart"/>
      <w:r w:rsidR="00EA3E75" w:rsidRPr="006B2BD8">
        <w:rPr>
          <w:rFonts w:asciiTheme="minorHAnsi" w:hAnsiTheme="minorHAnsi"/>
          <w:sz w:val="22"/>
          <w:szCs w:val="22"/>
        </w:rPr>
        <w:t>Governments</w:t>
      </w:r>
      <w:proofErr w:type="spellEnd"/>
      <w:r w:rsidR="00EA3E75" w:rsidRPr="006B2BD8">
        <w:rPr>
          <w:rFonts w:asciiTheme="minorHAnsi" w:hAnsiTheme="minorHAnsi"/>
          <w:sz w:val="22"/>
          <w:szCs w:val="22"/>
        </w:rPr>
        <w:t xml:space="preserve"> </w:t>
      </w:r>
      <w:proofErr w:type="spellStart"/>
      <w:r w:rsidR="00EA3E75" w:rsidRPr="006B2BD8">
        <w:rPr>
          <w:rFonts w:asciiTheme="minorHAnsi" w:hAnsiTheme="minorHAnsi"/>
          <w:sz w:val="22"/>
          <w:szCs w:val="22"/>
        </w:rPr>
        <w:t>can</w:t>
      </w:r>
      <w:proofErr w:type="spellEnd"/>
      <w:r w:rsidR="00EA3E75" w:rsidRPr="006B2BD8">
        <w:rPr>
          <w:rFonts w:asciiTheme="minorHAnsi" w:hAnsiTheme="minorHAnsi"/>
          <w:sz w:val="22"/>
          <w:szCs w:val="22"/>
        </w:rPr>
        <w:t>:</w:t>
      </w:r>
    </w:p>
    <w:p w:rsidR="00EA3E75" w:rsidRPr="00164B7C" w:rsidRDefault="00EA3E75" w:rsidP="0083549E">
      <w:pPr>
        <w:pStyle w:val="Default"/>
        <w:numPr>
          <w:ilvl w:val="0"/>
          <w:numId w:val="3"/>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Review and revise existing legislation and policies for consistency with the CRPD; review and revise compliance and enforce</w:t>
      </w:r>
      <w:r w:rsidRPr="00164B7C">
        <w:rPr>
          <w:rFonts w:asciiTheme="minorHAnsi" w:hAnsiTheme="minorHAnsi" w:cstheme="minorBidi"/>
          <w:color w:val="auto"/>
          <w:sz w:val="22"/>
          <w:szCs w:val="22"/>
          <w:lang w:val="en-US"/>
        </w:rPr>
        <w:softHyphen/>
        <w:t>ment mechanisms.</w:t>
      </w:r>
    </w:p>
    <w:p w:rsidR="00EA3E75" w:rsidRPr="00164B7C" w:rsidRDefault="00EA3E75" w:rsidP="0083549E">
      <w:pPr>
        <w:pStyle w:val="Default"/>
        <w:numPr>
          <w:ilvl w:val="0"/>
          <w:numId w:val="3"/>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Review mainstream and disability-spe</w:t>
      </w:r>
      <w:r w:rsidRPr="00164B7C">
        <w:rPr>
          <w:rFonts w:asciiTheme="minorHAnsi" w:hAnsiTheme="minorHAnsi" w:cstheme="minorBidi"/>
          <w:color w:val="auto"/>
          <w:sz w:val="22"/>
          <w:szCs w:val="22"/>
          <w:lang w:val="en-US"/>
        </w:rPr>
        <w:softHyphen/>
        <w:t>cific policies, systems, and services to identify gaps and barriers and to plan actions to overcome them.</w:t>
      </w:r>
    </w:p>
    <w:p w:rsidR="00EA3E75" w:rsidRPr="00164B7C" w:rsidRDefault="00EA3E75" w:rsidP="0083549E">
      <w:pPr>
        <w:pStyle w:val="Default"/>
        <w:numPr>
          <w:ilvl w:val="0"/>
          <w:numId w:val="3"/>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Develop a national disability strategy and action plan, establishing clear lines of respon</w:t>
      </w:r>
      <w:r w:rsidRPr="00164B7C">
        <w:rPr>
          <w:rFonts w:asciiTheme="minorHAnsi" w:hAnsiTheme="minorHAnsi" w:cstheme="minorBidi"/>
          <w:color w:val="auto"/>
          <w:sz w:val="22"/>
          <w:szCs w:val="22"/>
          <w:lang w:val="en-US"/>
        </w:rPr>
        <w:softHyphen/>
        <w:t>sibility and mechanisms for coordination, monitoring and reporting across sectors.</w:t>
      </w:r>
    </w:p>
    <w:p w:rsidR="00EA3E75" w:rsidRPr="00164B7C" w:rsidRDefault="00EA3E75" w:rsidP="0083549E">
      <w:pPr>
        <w:pStyle w:val="Default"/>
        <w:numPr>
          <w:ilvl w:val="0"/>
          <w:numId w:val="3"/>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Regulate service provision by introducing service standards and by monitoring and enforcing compliance.</w:t>
      </w:r>
    </w:p>
    <w:p w:rsidR="00EA3E75" w:rsidRPr="00164B7C" w:rsidRDefault="00EA3E75" w:rsidP="0083549E">
      <w:pPr>
        <w:pStyle w:val="Default"/>
        <w:numPr>
          <w:ilvl w:val="0"/>
          <w:numId w:val="3"/>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Allocate adequate resources to existing publicly-funded services and appropriately fund the implementation of the national disability strategy and plan of action.</w:t>
      </w:r>
    </w:p>
    <w:p w:rsidR="00EA3E75" w:rsidRPr="00164B7C" w:rsidRDefault="00EA3E75" w:rsidP="0083549E">
      <w:pPr>
        <w:pStyle w:val="Default"/>
        <w:numPr>
          <w:ilvl w:val="0"/>
          <w:numId w:val="3"/>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Adopt national accessibility standards and ensure compliance in new buildings, in transport, and in information and communication.</w:t>
      </w:r>
    </w:p>
    <w:p w:rsidR="00EA3E75" w:rsidRPr="00164B7C" w:rsidRDefault="00EA3E75" w:rsidP="0083549E">
      <w:pPr>
        <w:pStyle w:val="Default"/>
        <w:numPr>
          <w:ilvl w:val="0"/>
          <w:numId w:val="3"/>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 xml:space="preserve">Introduce measures to ensure that people with disabilities are protected from poverty and benefit adequately from mainstream poverty alleviation </w:t>
      </w:r>
      <w:proofErr w:type="spellStart"/>
      <w:r w:rsidRPr="00164B7C">
        <w:rPr>
          <w:rFonts w:asciiTheme="minorHAnsi" w:hAnsiTheme="minorHAnsi" w:cstheme="minorBidi"/>
          <w:color w:val="auto"/>
          <w:sz w:val="22"/>
          <w:szCs w:val="22"/>
          <w:lang w:val="en-US"/>
        </w:rPr>
        <w:t>programmes</w:t>
      </w:r>
      <w:proofErr w:type="spellEnd"/>
      <w:r w:rsidRPr="00164B7C">
        <w:rPr>
          <w:rFonts w:asciiTheme="minorHAnsi" w:hAnsiTheme="minorHAnsi" w:cstheme="minorBidi"/>
          <w:color w:val="auto"/>
          <w:sz w:val="22"/>
          <w:szCs w:val="22"/>
          <w:lang w:val="en-US"/>
        </w:rPr>
        <w:t>.</w:t>
      </w:r>
    </w:p>
    <w:p w:rsidR="00EA3E75" w:rsidRPr="00164B7C" w:rsidRDefault="00EA3E75" w:rsidP="0083549E">
      <w:pPr>
        <w:pStyle w:val="Default"/>
        <w:numPr>
          <w:ilvl w:val="0"/>
          <w:numId w:val="3"/>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Include disability in national data collec</w:t>
      </w:r>
      <w:r w:rsidRPr="00164B7C">
        <w:rPr>
          <w:rFonts w:asciiTheme="minorHAnsi" w:hAnsiTheme="minorHAnsi" w:cstheme="minorBidi"/>
          <w:color w:val="auto"/>
          <w:sz w:val="22"/>
          <w:szCs w:val="22"/>
          <w:lang w:val="en-US"/>
        </w:rPr>
        <w:softHyphen/>
        <w:t>tion systems and provide disability-disag</w:t>
      </w:r>
      <w:r w:rsidRPr="00164B7C">
        <w:rPr>
          <w:rFonts w:asciiTheme="minorHAnsi" w:hAnsiTheme="minorHAnsi" w:cstheme="minorBidi"/>
          <w:color w:val="auto"/>
          <w:sz w:val="22"/>
          <w:szCs w:val="22"/>
          <w:lang w:val="en-US"/>
        </w:rPr>
        <w:softHyphen/>
        <w:t>gregated data wherever possible.</w:t>
      </w:r>
    </w:p>
    <w:p w:rsidR="00EA3E75" w:rsidRPr="00164B7C" w:rsidRDefault="00EA3E75" w:rsidP="0083549E">
      <w:pPr>
        <w:pStyle w:val="Default"/>
        <w:numPr>
          <w:ilvl w:val="0"/>
          <w:numId w:val="3"/>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Implement communication campaigns to increase public knowledge and under</w:t>
      </w:r>
      <w:r w:rsidRPr="00164B7C">
        <w:rPr>
          <w:rFonts w:asciiTheme="minorHAnsi" w:hAnsiTheme="minorHAnsi" w:cstheme="minorBidi"/>
          <w:color w:val="auto"/>
          <w:sz w:val="22"/>
          <w:szCs w:val="22"/>
          <w:lang w:val="en-US"/>
        </w:rPr>
        <w:softHyphen/>
        <w:t>standing of disability.</w:t>
      </w:r>
    </w:p>
    <w:p w:rsidR="00EA3E75" w:rsidRPr="00164B7C" w:rsidRDefault="00EA3E75" w:rsidP="0083549E">
      <w:pPr>
        <w:pStyle w:val="Default"/>
        <w:numPr>
          <w:ilvl w:val="0"/>
          <w:numId w:val="3"/>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Establish channels for people with disabili</w:t>
      </w:r>
      <w:r w:rsidRPr="00164B7C">
        <w:rPr>
          <w:rFonts w:asciiTheme="minorHAnsi" w:hAnsiTheme="minorHAnsi" w:cstheme="minorBidi"/>
          <w:color w:val="auto"/>
          <w:sz w:val="22"/>
          <w:szCs w:val="22"/>
          <w:lang w:val="en-US"/>
        </w:rPr>
        <w:softHyphen/>
        <w:t>ties and third parties to lodge complaints on human rights issues and laws that are not implemented or enforced.</w:t>
      </w:r>
    </w:p>
    <w:p w:rsidR="0083549E" w:rsidRPr="00164B7C" w:rsidRDefault="0083549E" w:rsidP="00EA3E75">
      <w:pPr>
        <w:pStyle w:val="Pa212"/>
        <w:jc w:val="both"/>
        <w:rPr>
          <w:rFonts w:asciiTheme="minorHAnsi" w:hAnsiTheme="minorHAnsi"/>
          <w:sz w:val="22"/>
          <w:szCs w:val="22"/>
          <w:lang w:val="en-US"/>
        </w:rPr>
      </w:pPr>
    </w:p>
    <w:p w:rsidR="00EA3E75" w:rsidRPr="00164B7C" w:rsidRDefault="004E63A1" w:rsidP="00EA3E75">
      <w:pPr>
        <w:pStyle w:val="Pa212"/>
        <w:jc w:val="both"/>
        <w:rPr>
          <w:rFonts w:asciiTheme="minorHAnsi" w:hAnsiTheme="minorHAnsi"/>
          <w:sz w:val="22"/>
          <w:szCs w:val="22"/>
          <w:lang w:val="en-US"/>
        </w:rPr>
      </w:pPr>
      <w:r w:rsidRPr="00164B7C">
        <w:rPr>
          <w:rFonts w:asciiTheme="minorHAnsi" w:hAnsiTheme="minorHAnsi"/>
          <w:sz w:val="22"/>
          <w:szCs w:val="22"/>
          <w:lang w:val="en-US"/>
        </w:rPr>
        <w:t xml:space="preserve">2. </w:t>
      </w:r>
      <w:r w:rsidR="00EA3E75" w:rsidRPr="00164B7C">
        <w:rPr>
          <w:rFonts w:asciiTheme="minorHAnsi" w:hAnsiTheme="minorHAnsi"/>
          <w:sz w:val="22"/>
          <w:szCs w:val="22"/>
          <w:lang w:val="en-US"/>
        </w:rPr>
        <w:t>Unit</w:t>
      </w:r>
      <w:r w:rsidR="00664EA7">
        <w:rPr>
          <w:rFonts w:asciiTheme="minorHAnsi" w:hAnsiTheme="minorHAnsi"/>
          <w:sz w:val="22"/>
          <w:szCs w:val="22"/>
          <w:lang w:val="en-US"/>
        </w:rPr>
        <w:t>ed Nations agencies and develop</w:t>
      </w:r>
      <w:r w:rsidR="00EA3E75" w:rsidRPr="00164B7C">
        <w:rPr>
          <w:rFonts w:asciiTheme="minorHAnsi" w:hAnsiTheme="minorHAnsi"/>
          <w:sz w:val="22"/>
          <w:szCs w:val="22"/>
          <w:lang w:val="en-US"/>
        </w:rPr>
        <w:t>ment organizations can:</w:t>
      </w:r>
    </w:p>
    <w:p w:rsidR="00EA3E75" w:rsidRPr="00164B7C" w:rsidRDefault="00EA3E75" w:rsidP="0083549E">
      <w:pPr>
        <w:pStyle w:val="Default"/>
        <w:numPr>
          <w:ilvl w:val="0"/>
          <w:numId w:val="4"/>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Include di</w:t>
      </w:r>
      <w:r w:rsidR="00664EA7">
        <w:rPr>
          <w:rFonts w:asciiTheme="minorHAnsi" w:hAnsiTheme="minorHAnsi" w:cstheme="minorBidi"/>
          <w:color w:val="auto"/>
          <w:sz w:val="22"/>
          <w:szCs w:val="22"/>
          <w:lang w:val="en-US"/>
        </w:rPr>
        <w:t xml:space="preserve">sability in development aid </w:t>
      </w:r>
      <w:proofErr w:type="spellStart"/>
      <w:r w:rsidR="00664EA7">
        <w:rPr>
          <w:rFonts w:asciiTheme="minorHAnsi" w:hAnsiTheme="minorHAnsi" w:cstheme="minorBidi"/>
          <w:color w:val="auto"/>
          <w:sz w:val="22"/>
          <w:szCs w:val="22"/>
          <w:lang w:val="en-US"/>
        </w:rPr>
        <w:t>pro</w:t>
      </w:r>
      <w:r w:rsidRPr="00164B7C">
        <w:rPr>
          <w:rFonts w:asciiTheme="minorHAnsi" w:hAnsiTheme="minorHAnsi" w:cstheme="minorBidi"/>
          <w:color w:val="auto"/>
          <w:sz w:val="22"/>
          <w:szCs w:val="22"/>
          <w:lang w:val="en-US"/>
        </w:rPr>
        <w:t>grammes</w:t>
      </w:r>
      <w:proofErr w:type="spellEnd"/>
      <w:r w:rsidRPr="00164B7C">
        <w:rPr>
          <w:rFonts w:asciiTheme="minorHAnsi" w:hAnsiTheme="minorHAnsi" w:cstheme="minorBidi"/>
          <w:color w:val="auto"/>
          <w:sz w:val="22"/>
          <w:szCs w:val="22"/>
          <w:lang w:val="en-US"/>
        </w:rPr>
        <w:t>, using the twin-track approach (mainstreaming and targeted).</w:t>
      </w:r>
    </w:p>
    <w:p w:rsidR="00EA3E75" w:rsidRPr="00164B7C" w:rsidRDefault="00EA3E75" w:rsidP="0083549E">
      <w:pPr>
        <w:pStyle w:val="Default"/>
        <w:numPr>
          <w:ilvl w:val="0"/>
          <w:numId w:val="4"/>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Exchange information and coordinate actions – to</w:t>
      </w:r>
      <w:r w:rsidR="00664EA7">
        <w:rPr>
          <w:rFonts w:asciiTheme="minorHAnsi" w:hAnsiTheme="minorHAnsi" w:cstheme="minorBidi"/>
          <w:color w:val="auto"/>
          <w:sz w:val="22"/>
          <w:szCs w:val="22"/>
          <w:lang w:val="en-US"/>
        </w:rPr>
        <w:t xml:space="preserve"> agree on priorities for initia</w:t>
      </w:r>
      <w:r w:rsidRPr="00164B7C">
        <w:rPr>
          <w:rFonts w:asciiTheme="minorHAnsi" w:hAnsiTheme="minorHAnsi" w:cstheme="minorBidi"/>
          <w:color w:val="auto"/>
          <w:sz w:val="22"/>
          <w:szCs w:val="22"/>
          <w:lang w:val="en-US"/>
        </w:rPr>
        <w:t>tives to lear</w:t>
      </w:r>
      <w:r w:rsidR="00664EA7">
        <w:rPr>
          <w:rFonts w:asciiTheme="minorHAnsi" w:hAnsiTheme="minorHAnsi" w:cstheme="minorBidi"/>
          <w:color w:val="auto"/>
          <w:sz w:val="22"/>
          <w:szCs w:val="22"/>
          <w:lang w:val="en-US"/>
        </w:rPr>
        <w:t>n lessons and to reduce duplica</w:t>
      </w:r>
      <w:r w:rsidRPr="00164B7C">
        <w:rPr>
          <w:rFonts w:asciiTheme="minorHAnsi" w:hAnsiTheme="minorHAnsi" w:cstheme="minorBidi"/>
          <w:color w:val="auto"/>
          <w:sz w:val="22"/>
          <w:szCs w:val="22"/>
          <w:lang w:val="en-US"/>
        </w:rPr>
        <w:t>tion of effort.</w:t>
      </w:r>
    </w:p>
    <w:p w:rsidR="00EA3E75" w:rsidRPr="00164B7C" w:rsidRDefault="00EA3E75" w:rsidP="0083549E">
      <w:pPr>
        <w:pStyle w:val="Default"/>
        <w:numPr>
          <w:ilvl w:val="0"/>
          <w:numId w:val="4"/>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Provide technical assistance to countries to build capacity and</w:t>
      </w:r>
      <w:r w:rsidR="00664EA7">
        <w:rPr>
          <w:rFonts w:asciiTheme="minorHAnsi" w:hAnsiTheme="minorHAnsi" w:cstheme="minorBidi"/>
          <w:color w:val="auto"/>
          <w:sz w:val="22"/>
          <w:szCs w:val="22"/>
          <w:lang w:val="en-US"/>
        </w:rPr>
        <w:t xml:space="preserve"> strengthen existing pol</w:t>
      </w:r>
      <w:r w:rsidRPr="00164B7C">
        <w:rPr>
          <w:rFonts w:asciiTheme="minorHAnsi" w:hAnsiTheme="minorHAnsi" w:cstheme="minorBidi"/>
          <w:color w:val="auto"/>
          <w:sz w:val="22"/>
          <w:szCs w:val="22"/>
          <w:lang w:val="en-US"/>
        </w:rPr>
        <w:t>icies, systems and services – for example, by sharing good and promising practices.</w:t>
      </w:r>
    </w:p>
    <w:p w:rsidR="00EA3E75" w:rsidRPr="00164B7C" w:rsidRDefault="00EA3E75" w:rsidP="0083549E">
      <w:pPr>
        <w:pStyle w:val="Default"/>
        <w:numPr>
          <w:ilvl w:val="0"/>
          <w:numId w:val="4"/>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Contrib</w:t>
      </w:r>
      <w:r w:rsidR="00664EA7">
        <w:rPr>
          <w:rFonts w:asciiTheme="minorHAnsi" w:hAnsiTheme="minorHAnsi" w:cstheme="minorBidi"/>
          <w:color w:val="auto"/>
          <w:sz w:val="22"/>
          <w:szCs w:val="22"/>
          <w:lang w:val="en-US"/>
        </w:rPr>
        <w:t>ute to the development of inter</w:t>
      </w:r>
      <w:r w:rsidRPr="00164B7C">
        <w:rPr>
          <w:rFonts w:asciiTheme="minorHAnsi" w:hAnsiTheme="minorHAnsi" w:cstheme="minorBidi"/>
          <w:color w:val="auto"/>
          <w:sz w:val="22"/>
          <w:szCs w:val="22"/>
          <w:lang w:val="en-US"/>
        </w:rPr>
        <w:t>nation</w:t>
      </w:r>
      <w:r w:rsidR="00664EA7">
        <w:rPr>
          <w:rFonts w:asciiTheme="minorHAnsi" w:hAnsiTheme="minorHAnsi" w:cstheme="minorBidi"/>
          <w:color w:val="auto"/>
          <w:sz w:val="22"/>
          <w:szCs w:val="22"/>
          <w:lang w:val="en-US"/>
        </w:rPr>
        <w:t>ally comparable research method</w:t>
      </w:r>
      <w:r w:rsidRPr="00164B7C">
        <w:rPr>
          <w:rFonts w:asciiTheme="minorHAnsi" w:hAnsiTheme="minorHAnsi" w:cstheme="minorBidi"/>
          <w:color w:val="auto"/>
          <w:sz w:val="22"/>
          <w:szCs w:val="22"/>
          <w:lang w:val="en-US"/>
        </w:rPr>
        <w:t>o</w:t>
      </w:r>
      <w:r w:rsidR="0063195E">
        <w:rPr>
          <w:rFonts w:asciiTheme="minorHAnsi" w:hAnsiTheme="minorHAnsi" w:cstheme="minorBidi"/>
          <w:color w:val="auto"/>
          <w:sz w:val="22"/>
          <w:szCs w:val="22"/>
          <w:lang w:val="en-US"/>
        </w:rPr>
        <w:t>logies for collecting and analyz</w:t>
      </w:r>
      <w:r w:rsidRPr="00164B7C">
        <w:rPr>
          <w:rFonts w:asciiTheme="minorHAnsi" w:hAnsiTheme="minorHAnsi" w:cstheme="minorBidi"/>
          <w:color w:val="auto"/>
          <w:sz w:val="22"/>
          <w:szCs w:val="22"/>
          <w:lang w:val="en-US"/>
        </w:rPr>
        <w:t>ing data relating to people with disabilities.</w:t>
      </w:r>
    </w:p>
    <w:p w:rsidR="00EA3E75" w:rsidRPr="00164B7C" w:rsidRDefault="00EA3E75" w:rsidP="0083549E">
      <w:pPr>
        <w:pStyle w:val="Default"/>
        <w:numPr>
          <w:ilvl w:val="0"/>
          <w:numId w:val="4"/>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Regularly include relevant disability data into statistical publications.</w:t>
      </w:r>
    </w:p>
    <w:p w:rsidR="005614F8" w:rsidRPr="00164B7C" w:rsidRDefault="005614F8" w:rsidP="00EA3E75">
      <w:pPr>
        <w:pStyle w:val="Default"/>
        <w:rPr>
          <w:rFonts w:asciiTheme="minorHAnsi" w:hAnsiTheme="minorHAnsi" w:cstheme="minorBidi"/>
          <w:color w:val="auto"/>
          <w:sz w:val="22"/>
          <w:szCs w:val="22"/>
          <w:lang w:val="en-US"/>
        </w:rPr>
      </w:pPr>
    </w:p>
    <w:p w:rsidR="00EA3E75" w:rsidRPr="00164B7C" w:rsidRDefault="004E63A1" w:rsidP="0083549E">
      <w:pPr>
        <w:pStyle w:val="Pa212"/>
        <w:jc w:val="both"/>
        <w:rPr>
          <w:rFonts w:asciiTheme="minorHAnsi" w:hAnsiTheme="minorHAnsi"/>
          <w:sz w:val="22"/>
          <w:szCs w:val="22"/>
          <w:lang w:val="en-US"/>
        </w:rPr>
      </w:pPr>
      <w:r w:rsidRPr="00164B7C">
        <w:rPr>
          <w:rFonts w:asciiTheme="minorHAnsi" w:hAnsiTheme="minorHAnsi"/>
          <w:sz w:val="22"/>
          <w:szCs w:val="22"/>
          <w:lang w:val="en-US"/>
        </w:rPr>
        <w:t xml:space="preserve">3. </w:t>
      </w:r>
      <w:r w:rsidR="00EA3E75" w:rsidRPr="00164B7C">
        <w:rPr>
          <w:rFonts w:asciiTheme="minorHAnsi" w:hAnsiTheme="minorHAnsi"/>
          <w:sz w:val="22"/>
          <w:szCs w:val="22"/>
          <w:lang w:val="en-US"/>
        </w:rPr>
        <w:t>Disabled people’s organizations can:</w:t>
      </w:r>
    </w:p>
    <w:p w:rsidR="00EA3E75" w:rsidRPr="00164B7C" w:rsidRDefault="00EA3E75" w:rsidP="0083549E">
      <w:pPr>
        <w:pStyle w:val="Default"/>
        <w:numPr>
          <w:ilvl w:val="0"/>
          <w:numId w:val="5"/>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Support people with disabilities to become aware of their rights, to live independently, and to develop their skills.</w:t>
      </w:r>
    </w:p>
    <w:p w:rsidR="00EA3E75" w:rsidRPr="00164B7C" w:rsidRDefault="00EA3E75" w:rsidP="0083549E">
      <w:pPr>
        <w:pStyle w:val="Default"/>
        <w:numPr>
          <w:ilvl w:val="0"/>
          <w:numId w:val="5"/>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Support children with disabilities and their families to ensure inclusion in education.</w:t>
      </w:r>
    </w:p>
    <w:p w:rsidR="00EA3E75" w:rsidRPr="00164B7C" w:rsidRDefault="00EA3E75" w:rsidP="0083549E">
      <w:pPr>
        <w:pStyle w:val="Default"/>
        <w:numPr>
          <w:ilvl w:val="0"/>
          <w:numId w:val="5"/>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 xml:space="preserve">Represent the views of their constituency to international, national, and local decision-makers </w:t>
      </w:r>
      <w:r w:rsidR="0063195E">
        <w:rPr>
          <w:rFonts w:asciiTheme="minorHAnsi" w:hAnsiTheme="minorHAnsi" w:cstheme="minorBidi"/>
          <w:color w:val="auto"/>
          <w:sz w:val="22"/>
          <w:szCs w:val="22"/>
          <w:lang w:val="en-US"/>
        </w:rPr>
        <w:t>and service providers, and advo</w:t>
      </w:r>
      <w:r w:rsidRPr="00164B7C">
        <w:rPr>
          <w:rFonts w:asciiTheme="minorHAnsi" w:hAnsiTheme="minorHAnsi" w:cstheme="minorBidi"/>
          <w:color w:val="auto"/>
          <w:sz w:val="22"/>
          <w:szCs w:val="22"/>
          <w:lang w:val="en-US"/>
        </w:rPr>
        <w:t>cate for their rights.</w:t>
      </w:r>
    </w:p>
    <w:p w:rsidR="00EA3E75" w:rsidRPr="00164B7C" w:rsidRDefault="00EA3E75" w:rsidP="0083549E">
      <w:pPr>
        <w:pStyle w:val="Default"/>
        <w:numPr>
          <w:ilvl w:val="0"/>
          <w:numId w:val="5"/>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 xml:space="preserve">Contribute to the evaluation </w:t>
      </w:r>
      <w:r w:rsidR="0063195E">
        <w:rPr>
          <w:rFonts w:asciiTheme="minorHAnsi" w:hAnsiTheme="minorHAnsi" w:cstheme="minorBidi"/>
          <w:color w:val="auto"/>
          <w:sz w:val="22"/>
          <w:szCs w:val="22"/>
          <w:lang w:val="en-US"/>
        </w:rPr>
        <w:t>and moni</w:t>
      </w:r>
      <w:r w:rsidRPr="00164B7C">
        <w:rPr>
          <w:rFonts w:asciiTheme="minorHAnsi" w:hAnsiTheme="minorHAnsi" w:cstheme="minorBidi"/>
          <w:color w:val="auto"/>
          <w:sz w:val="22"/>
          <w:szCs w:val="22"/>
          <w:lang w:val="en-US"/>
        </w:rPr>
        <w:t>toring of services, and collaborate with researchers to support applied research that can contribute to service development.</w:t>
      </w:r>
    </w:p>
    <w:p w:rsidR="00EA3E75" w:rsidRPr="00164B7C" w:rsidRDefault="00EA3E75" w:rsidP="0083549E">
      <w:pPr>
        <w:pStyle w:val="Default"/>
        <w:numPr>
          <w:ilvl w:val="0"/>
          <w:numId w:val="5"/>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Pro</w:t>
      </w:r>
      <w:r w:rsidR="0063195E">
        <w:rPr>
          <w:rFonts w:asciiTheme="minorHAnsi" w:hAnsiTheme="minorHAnsi" w:cstheme="minorBidi"/>
          <w:color w:val="auto"/>
          <w:sz w:val="22"/>
          <w:szCs w:val="22"/>
          <w:lang w:val="en-US"/>
        </w:rPr>
        <w:t>mote public awareness and under</w:t>
      </w:r>
      <w:r w:rsidRPr="00164B7C">
        <w:rPr>
          <w:rFonts w:asciiTheme="minorHAnsi" w:hAnsiTheme="minorHAnsi" w:cstheme="minorBidi"/>
          <w:color w:val="auto"/>
          <w:sz w:val="22"/>
          <w:szCs w:val="22"/>
          <w:lang w:val="en-US"/>
        </w:rPr>
        <w:t xml:space="preserve">standing by professionals about the rights of persons with disabilities – for example, through </w:t>
      </w:r>
      <w:r w:rsidR="0063195E">
        <w:rPr>
          <w:rFonts w:asciiTheme="minorHAnsi" w:hAnsiTheme="minorHAnsi" w:cstheme="minorBidi"/>
          <w:color w:val="auto"/>
          <w:sz w:val="22"/>
          <w:szCs w:val="22"/>
          <w:lang w:val="en-US"/>
        </w:rPr>
        <w:t>campaigning, advocacy, and disa</w:t>
      </w:r>
      <w:r w:rsidRPr="00164B7C">
        <w:rPr>
          <w:rFonts w:asciiTheme="minorHAnsi" w:hAnsiTheme="minorHAnsi" w:cstheme="minorBidi"/>
          <w:color w:val="auto"/>
          <w:sz w:val="22"/>
          <w:szCs w:val="22"/>
          <w:lang w:val="en-US"/>
        </w:rPr>
        <w:t>bility-equality training.</w:t>
      </w:r>
    </w:p>
    <w:p w:rsidR="00EA3E75" w:rsidRPr="00164B7C" w:rsidRDefault="00EA3E75" w:rsidP="0083549E">
      <w:pPr>
        <w:pStyle w:val="Default"/>
        <w:numPr>
          <w:ilvl w:val="0"/>
          <w:numId w:val="5"/>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Conduct audits of environments, transport, and other systems and services to promote barrier removal.</w:t>
      </w:r>
    </w:p>
    <w:p w:rsidR="0083549E" w:rsidRPr="00164B7C" w:rsidRDefault="0083549E" w:rsidP="0083549E">
      <w:pPr>
        <w:pStyle w:val="Default"/>
        <w:rPr>
          <w:rFonts w:asciiTheme="minorHAnsi" w:hAnsiTheme="minorHAnsi" w:cstheme="minorBidi"/>
          <w:color w:val="auto"/>
          <w:sz w:val="22"/>
          <w:szCs w:val="22"/>
          <w:lang w:val="en-US"/>
        </w:rPr>
      </w:pPr>
    </w:p>
    <w:p w:rsidR="00EA3E75" w:rsidRPr="00164B7C" w:rsidRDefault="004E63A1" w:rsidP="0083549E">
      <w:pPr>
        <w:pStyle w:val="Default"/>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 xml:space="preserve">4. </w:t>
      </w:r>
      <w:r w:rsidR="00EA3E75" w:rsidRPr="00164B7C">
        <w:rPr>
          <w:rFonts w:asciiTheme="minorHAnsi" w:hAnsiTheme="minorHAnsi" w:cstheme="minorBidi"/>
          <w:color w:val="auto"/>
          <w:sz w:val="22"/>
          <w:szCs w:val="22"/>
          <w:lang w:val="en-US"/>
        </w:rPr>
        <w:t>Service providers can:</w:t>
      </w:r>
    </w:p>
    <w:p w:rsidR="00EA3E75" w:rsidRPr="00164B7C" w:rsidRDefault="00EA3E75" w:rsidP="0083549E">
      <w:pPr>
        <w:pStyle w:val="Default"/>
        <w:numPr>
          <w:ilvl w:val="0"/>
          <w:numId w:val="6"/>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Carry out access audits, in partnership with local disability groups, to identify physical and information barriers that may exclude persons with disabilities.</w:t>
      </w:r>
    </w:p>
    <w:p w:rsidR="00EA3E75" w:rsidRPr="00164B7C" w:rsidRDefault="00EA3E75" w:rsidP="0083549E">
      <w:pPr>
        <w:pStyle w:val="Default"/>
        <w:numPr>
          <w:ilvl w:val="0"/>
          <w:numId w:val="6"/>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 xml:space="preserve">Ensure that </w:t>
      </w:r>
      <w:proofErr w:type="gramStart"/>
      <w:r w:rsidRPr="00164B7C">
        <w:rPr>
          <w:rFonts w:asciiTheme="minorHAnsi" w:hAnsiTheme="minorHAnsi" w:cstheme="minorBidi"/>
          <w:color w:val="auto"/>
          <w:sz w:val="22"/>
          <w:szCs w:val="22"/>
          <w:lang w:val="en-US"/>
        </w:rPr>
        <w:t>staff are</w:t>
      </w:r>
      <w:proofErr w:type="gramEnd"/>
      <w:r w:rsidRPr="00164B7C">
        <w:rPr>
          <w:rFonts w:asciiTheme="minorHAnsi" w:hAnsiTheme="minorHAnsi" w:cstheme="minorBidi"/>
          <w:color w:val="auto"/>
          <w:sz w:val="22"/>
          <w:szCs w:val="22"/>
          <w:lang w:val="en-US"/>
        </w:rPr>
        <w:t xml:space="preserve"> adequately trained about disability, implementing training as required and including service users in developing and delivering training.</w:t>
      </w:r>
    </w:p>
    <w:p w:rsidR="00EA3E75" w:rsidRPr="00164B7C" w:rsidRDefault="00EA3E75" w:rsidP="0083549E">
      <w:pPr>
        <w:pStyle w:val="Default"/>
        <w:numPr>
          <w:ilvl w:val="0"/>
          <w:numId w:val="6"/>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 xml:space="preserve">Develop </w:t>
      </w:r>
      <w:r w:rsidR="0063195E">
        <w:rPr>
          <w:rFonts w:asciiTheme="minorHAnsi" w:hAnsiTheme="minorHAnsi" w:cstheme="minorBidi"/>
          <w:color w:val="auto"/>
          <w:sz w:val="22"/>
          <w:szCs w:val="22"/>
          <w:lang w:val="en-US"/>
        </w:rPr>
        <w:t>individual service plans in con</w:t>
      </w:r>
      <w:r w:rsidRPr="00164B7C">
        <w:rPr>
          <w:rFonts w:asciiTheme="minorHAnsi" w:hAnsiTheme="minorHAnsi" w:cstheme="minorBidi"/>
          <w:color w:val="auto"/>
          <w:sz w:val="22"/>
          <w:szCs w:val="22"/>
          <w:lang w:val="en-US"/>
        </w:rPr>
        <w:t>sultation with disabled people, and their families where necessary.</w:t>
      </w:r>
    </w:p>
    <w:p w:rsidR="00EA3E75" w:rsidRPr="00164B7C" w:rsidRDefault="00EA3E75" w:rsidP="0083549E">
      <w:pPr>
        <w:pStyle w:val="Default"/>
        <w:numPr>
          <w:ilvl w:val="0"/>
          <w:numId w:val="6"/>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Introduc</w:t>
      </w:r>
      <w:r w:rsidR="0063195E">
        <w:rPr>
          <w:rFonts w:asciiTheme="minorHAnsi" w:hAnsiTheme="minorHAnsi" w:cstheme="minorBidi"/>
          <w:color w:val="auto"/>
          <w:sz w:val="22"/>
          <w:szCs w:val="22"/>
          <w:lang w:val="en-US"/>
        </w:rPr>
        <w:t>e case management, referral sys</w:t>
      </w:r>
      <w:r w:rsidRPr="00164B7C">
        <w:rPr>
          <w:rFonts w:asciiTheme="minorHAnsi" w:hAnsiTheme="minorHAnsi" w:cstheme="minorBidi"/>
          <w:color w:val="auto"/>
          <w:sz w:val="22"/>
          <w:szCs w:val="22"/>
          <w:lang w:val="en-US"/>
        </w:rPr>
        <w:t>tems, and electronic record-keeping to coordinate and integrate service provision.</w:t>
      </w:r>
    </w:p>
    <w:p w:rsidR="00EA3E75" w:rsidRPr="00164B7C" w:rsidRDefault="00EA3E75" w:rsidP="0083549E">
      <w:pPr>
        <w:pStyle w:val="Default"/>
        <w:numPr>
          <w:ilvl w:val="0"/>
          <w:numId w:val="6"/>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Ensure that people with disabilities are informe</w:t>
      </w:r>
      <w:r w:rsidR="0063195E">
        <w:rPr>
          <w:rFonts w:asciiTheme="minorHAnsi" w:hAnsiTheme="minorHAnsi" w:cstheme="minorBidi"/>
          <w:color w:val="auto"/>
          <w:sz w:val="22"/>
          <w:szCs w:val="22"/>
          <w:lang w:val="en-US"/>
        </w:rPr>
        <w:t>d of their rights and the mecha</w:t>
      </w:r>
      <w:r w:rsidRPr="00164B7C">
        <w:rPr>
          <w:rFonts w:asciiTheme="minorHAnsi" w:hAnsiTheme="minorHAnsi" w:cstheme="minorBidi"/>
          <w:color w:val="auto"/>
          <w:sz w:val="22"/>
          <w:szCs w:val="22"/>
          <w:lang w:val="en-US"/>
        </w:rPr>
        <w:t>nisms for complaints.</w:t>
      </w:r>
    </w:p>
    <w:p w:rsidR="0083549E" w:rsidRPr="00164B7C" w:rsidRDefault="0083549E" w:rsidP="00EA3E75">
      <w:pPr>
        <w:pStyle w:val="Pa212"/>
        <w:jc w:val="both"/>
        <w:rPr>
          <w:rFonts w:asciiTheme="minorHAnsi" w:hAnsiTheme="minorHAnsi"/>
          <w:sz w:val="22"/>
          <w:szCs w:val="22"/>
          <w:lang w:val="en-US"/>
        </w:rPr>
      </w:pPr>
    </w:p>
    <w:p w:rsidR="00EA3E75" w:rsidRPr="00164B7C" w:rsidRDefault="004E63A1" w:rsidP="00EA3E75">
      <w:pPr>
        <w:pStyle w:val="Pa212"/>
        <w:jc w:val="both"/>
        <w:rPr>
          <w:rFonts w:asciiTheme="minorHAnsi" w:hAnsiTheme="minorHAnsi"/>
          <w:sz w:val="22"/>
          <w:szCs w:val="22"/>
          <w:lang w:val="en-US"/>
        </w:rPr>
      </w:pPr>
      <w:r w:rsidRPr="00164B7C">
        <w:rPr>
          <w:rFonts w:asciiTheme="minorHAnsi" w:hAnsiTheme="minorHAnsi"/>
          <w:sz w:val="22"/>
          <w:szCs w:val="22"/>
          <w:lang w:val="en-US"/>
        </w:rPr>
        <w:t xml:space="preserve">5. </w:t>
      </w:r>
      <w:r w:rsidR="00EA3E75" w:rsidRPr="00164B7C">
        <w:rPr>
          <w:rFonts w:asciiTheme="minorHAnsi" w:hAnsiTheme="minorHAnsi"/>
          <w:sz w:val="22"/>
          <w:szCs w:val="22"/>
          <w:lang w:val="en-US"/>
        </w:rPr>
        <w:t>Academic institutions can:</w:t>
      </w:r>
    </w:p>
    <w:p w:rsidR="00EA3E75" w:rsidRPr="00164B7C" w:rsidRDefault="00EA3E75" w:rsidP="0083549E">
      <w:pPr>
        <w:pStyle w:val="Default"/>
        <w:numPr>
          <w:ilvl w:val="0"/>
          <w:numId w:val="7"/>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Remove barriers to the recruitment and participation of students and staff with disabilities.</w:t>
      </w:r>
    </w:p>
    <w:p w:rsidR="00EA3E75" w:rsidRPr="00164B7C" w:rsidRDefault="00EA3E75" w:rsidP="0083549E">
      <w:pPr>
        <w:pStyle w:val="Default"/>
        <w:numPr>
          <w:ilvl w:val="0"/>
          <w:numId w:val="7"/>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Ensure that professional training courses include a</w:t>
      </w:r>
      <w:r w:rsidR="0063195E">
        <w:rPr>
          <w:rFonts w:asciiTheme="minorHAnsi" w:hAnsiTheme="minorHAnsi" w:cstheme="minorBidi"/>
          <w:color w:val="auto"/>
          <w:sz w:val="22"/>
          <w:szCs w:val="22"/>
          <w:lang w:val="en-US"/>
        </w:rPr>
        <w:t>dequate information about dis</w:t>
      </w:r>
      <w:r w:rsidRPr="00164B7C">
        <w:rPr>
          <w:rFonts w:asciiTheme="minorHAnsi" w:hAnsiTheme="minorHAnsi" w:cstheme="minorBidi"/>
          <w:color w:val="auto"/>
          <w:sz w:val="22"/>
          <w:szCs w:val="22"/>
          <w:lang w:val="en-US"/>
        </w:rPr>
        <w:t>ability, based on human rights principles.</w:t>
      </w:r>
    </w:p>
    <w:p w:rsidR="00EA3E75" w:rsidRPr="00164B7C" w:rsidRDefault="00EA3E75" w:rsidP="0083549E">
      <w:pPr>
        <w:pStyle w:val="Default"/>
        <w:numPr>
          <w:ilvl w:val="0"/>
          <w:numId w:val="7"/>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Conduct research on the lives of persons with disa</w:t>
      </w:r>
      <w:r w:rsidR="0063195E">
        <w:rPr>
          <w:rFonts w:asciiTheme="minorHAnsi" w:hAnsiTheme="minorHAnsi" w:cstheme="minorBidi"/>
          <w:color w:val="auto"/>
          <w:sz w:val="22"/>
          <w:szCs w:val="22"/>
          <w:lang w:val="en-US"/>
        </w:rPr>
        <w:t>bilities and on disabling barri</w:t>
      </w:r>
      <w:r w:rsidRPr="00164B7C">
        <w:rPr>
          <w:rFonts w:asciiTheme="minorHAnsi" w:hAnsiTheme="minorHAnsi" w:cstheme="minorBidi"/>
          <w:color w:val="auto"/>
          <w:sz w:val="22"/>
          <w:szCs w:val="22"/>
          <w:lang w:val="en-US"/>
        </w:rPr>
        <w:t>ers, in consultation with disabled people’s organizations.</w:t>
      </w:r>
    </w:p>
    <w:p w:rsidR="00EA3E75" w:rsidRPr="00164B7C" w:rsidRDefault="00EA3E75" w:rsidP="00EA3E75">
      <w:pPr>
        <w:pStyle w:val="Default"/>
        <w:rPr>
          <w:rFonts w:asciiTheme="minorHAnsi" w:hAnsiTheme="minorHAnsi" w:cstheme="minorBidi"/>
          <w:color w:val="auto"/>
          <w:sz w:val="22"/>
          <w:szCs w:val="22"/>
          <w:lang w:val="en-US"/>
        </w:rPr>
      </w:pPr>
    </w:p>
    <w:p w:rsidR="00EA3E75" w:rsidRPr="00164B7C" w:rsidRDefault="004E63A1" w:rsidP="00EA3E75">
      <w:pPr>
        <w:pStyle w:val="Pa212"/>
        <w:jc w:val="both"/>
        <w:rPr>
          <w:rFonts w:asciiTheme="minorHAnsi" w:hAnsiTheme="minorHAnsi"/>
          <w:sz w:val="22"/>
          <w:szCs w:val="22"/>
          <w:lang w:val="en-US"/>
        </w:rPr>
      </w:pPr>
      <w:r w:rsidRPr="00164B7C">
        <w:rPr>
          <w:rFonts w:asciiTheme="minorHAnsi" w:hAnsiTheme="minorHAnsi"/>
          <w:sz w:val="22"/>
          <w:szCs w:val="22"/>
          <w:lang w:val="en-US"/>
        </w:rPr>
        <w:t xml:space="preserve">6. </w:t>
      </w:r>
      <w:r w:rsidR="00EA3E75" w:rsidRPr="00164B7C">
        <w:rPr>
          <w:rFonts w:asciiTheme="minorHAnsi" w:hAnsiTheme="minorHAnsi"/>
          <w:sz w:val="22"/>
          <w:szCs w:val="22"/>
          <w:lang w:val="en-US"/>
        </w:rPr>
        <w:t>The private sector can:</w:t>
      </w:r>
    </w:p>
    <w:p w:rsidR="00EA3E75" w:rsidRPr="00164B7C" w:rsidRDefault="00EA3E75" w:rsidP="0083549E">
      <w:pPr>
        <w:pStyle w:val="Default"/>
        <w:numPr>
          <w:ilvl w:val="0"/>
          <w:numId w:val="8"/>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 xml:space="preserve">Promote </w:t>
      </w:r>
      <w:r w:rsidR="0063195E">
        <w:rPr>
          <w:rFonts w:asciiTheme="minorHAnsi" w:hAnsiTheme="minorHAnsi" w:cstheme="minorBidi"/>
          <w:color w:val="auto"/>
          <w:sz w:val="22"/>
          <w:szCs w:val="22"/>
          <w:lang w:val="en-US"/>
        </w:rPr>
        <w:t>diversity and inclusion in work</w:t>
      </w:r>
      <w:r w:rsidRPr="00164B7C">
        <w:rPr>
          <w:rFonts w:asciiTheme="minorHAnsi" w:hAnsiTheme="minorHAnsi" w:cstheme="minorBidi"/>
          <w:color w:val="auto"/>
          <w:sz w:val="22"/>
          <w:szCs w:val="22"/>
          <w:lang w:val="en-US"/>
        </w:rPr>
        <w:t>ing environments.</w:t>
      </w:r>
    </w:p>
    <w:p w:rsidR="00EA3E75" w:rsidRPr="00164B7C" w:rsidRDefault="00EA3E75" w:rsidP="0083549E">
      <w:pPr>
        <w:pStyle w:val="Default"/>
        <w:numPr>
          <w:ilvl w:val="0"/>
          <w:numId w:val="8"/>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Facilitate</w:t>
      </w:r>
      <w:r w:rsidR="0063195E">
        <w:rPr>
          <w:rFonts w:asciiTheme="minorHAnsi" w:hAnsiTheme="minorHAnsi" w:cstheme="minorBidi"/>
          <w:color w:val="auto"/>
          <w:sz w:val="22"/>
          <w:szCs w:val="22"/>
          <w:lang w:val="en-US"/>
        </w:rPr>
        <w:t xml:space="preserve"> employment of persons with dis</w:t>
      </w:r>
      <w:r w:rsidRPr="00164B7C">
        <w:rPr>
          <w:rFonts w:asciiTheme="minorHAnsi" w:hAnsiTheme="minorHAnsi" w:cstheme="minorBidi"/>
          <w:color w:val="auto"/>
          <w:sz w:val="22"/>
          <w:szCs w:val="22"/>
          <w:lang w:val="en-US"/>
        </w:rPr>
        <w:t>abilities, en</w:t>
      </w:r>
      <w:r w:rsidR="0063195E">
        <w:rPr>
          <w:rFonts w:asciiTheme="minorHAnsi" w:hAnsiTheme="minorHAnsi" w:cstheme="minorBidi"/>
          <w:color w:val="auto"/>
          <w:sz w:val="22"/>
          <w:szCs w:val="22"/>
          <w:lang w:val="en-US"/>
        </w:rPr>
        <w:t>suring that recruitment is equi</w:t>
      </w:r>
      <w:r w:rsidRPr="00164B7C">
        <w:rPr>
          <w:rFonts w:asciiTheme="minorHAnsi" w:hAnsiTheme="minorHAnsi" w:cstheme="minorBidi"/>
          <w:color w:val="auto"/>
          <w:sz w:val="22"/>
          <w:szCs w:val="22"/>
          <w:lang w:val="en-US"/>
        </w:rPr>
        <w:t>table, that reasonable accommodations are provided, and that employees who become disabled are supported to return to work.</w:t>
      </w:r>
    </w:p>
    <w:p w:rsidR="00EA3E75" w:rsidRPr="00164B7C" w:rsidRDefault="00EA3E75" w:rsidP="0083549E">
      <w:pPr>
        <w:pStyle w:val="Default"/>
        <w:numPr>
          <w:ilvl w:val="0"/>
          <w:numId w:val="8"/>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Remove barriers of access to microfinance, so that persons with disabilities can develop their own businesses.</w:t>
      </w:r>
    </w:p>
    <w:p w:rsidR="00EA3E75" w:rsidRPr="00164B7C" w:rsidRDefault="00EA3E75" w:rsidP="0083549E">
      <w:pPr>
        <w:pStyle w:val="Default"/>
        <w:numPr>
          <w:ilvl w:val="0"/>
          <w:numId w:val="8"/>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Develop a range of quality support services for persons w</w:t>
      </w:r>
      <w:r w:rsidR="0063195E">
        <w:rPr>
          <w:rFonts w:asciiTheme="minorHAnsi" w:hAnsiTheme="minorHAnsi" w:cstheme="minorBidi"/>
          <w:color w:val="auto"/>
          <w:sz w:val="22"/>
          <w:szCs w:val="22"/>
          <w:lang w:val="en-US"/>
        </w:rPr>
        <w:t>ith disabilities and their fami</w:t>
      </w:r>
      <w:r w:rsidRPr="00164B7C">
        <w:rPr>
          <w:rFonts w:asciiTheme="minorHAnsi" w:hAnsiTheme="minorHAnsi" w:cstheme="minorBidi"/>
          <w:color w:val="auto"/>
          <w:sz w:val="22"/>
          <w:szCs w:val="22"/>
          <w:lang w:val="en-US"/>
        </w:rPr>
        <w:t>lies at different stages of the life cycle.</w:t>
      </w:r>
    </w:p>
    <w:p w:rsidR="00EA3E75" w:rsidRPr="00164B7C" w:rsidRDefault="00EA3E75" w:rsidP="0083549E">
      <w:pPr>
        <w:pStyle w:val="Default"/>
        <w:numPr>
          <w:ilvl w:val="0"/>
          <w:numId w:val="8"/>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Ensure that construction projects, such as public a</w:t>
      </w:r>
      <w:r w:rsidR="0063195E">
        <w:rPr>
          <w:rFonts w:asciiTheme="minorHAnsi" w:hAnsiTheme="minorHAnsi" w:cstheme="minorBidi"/>
          <w:color w:val="auto"/>
          <w:sz w:val="22"/>
          <w:szCs w:val="22"/>
          <w:lang w:val="en-US"/>
        </w:rPr>
        <w:t>ccommodations, offices and hous</w:t>
      </w:r>
      <w:r w:rsidRPr="00164B7C">
        <w:rPr>
          <w:rFonts w:asciiTheme="minorHAnsi" w:hAnsiTheme="minorHAnsi" w:cstheme="minorBidi"/>
          <w:color w:val="auto"/>
          <w:sz w:val="22"/>
          <w:szCs w:val="22"/>
          <w:lang w:val="en-US"/>
        </w:rPr>
        <w:t>ing include adequate access for persons with disabilities.</w:t>
      </w:r>
    </w:p>
    <w:p w:rsidR="0083549E" w:rsidRPr="00164B7C" w:rsidRDefault="00EA3E75" w:rsidP="005614F8">
      <w:pPr>
        <w:pStyle w:val="Default"/>
        <w:numPr>
          <w:ilvl w:val="0"/>
          <w:numId w:val="8"/>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Ensure that ICT products, systems, and services are accessible to persons with disabilities.</w:t>
      </w:r>
    </w:p>
    <w:p w:rsidR="0083549E" w:rsidRPr="00164B7C" w:rsidRDefault="0083549E" w:rsidP="0083549E">
      <w:pPr>
        <w:pStyle w:val="Default"/>
        <w:rPr>
          <w:rFonts w:asciiTheme="minorHAnsi" w:hAnsiTheme="minorHAnsi" w:cstheme="minorBidi"/>
          <w:color w:val="auto"/>
          <w:sz w:val="22"/>
          <w:szCs w:val="22"/>
          <w:lang w:val="en-US"/>
        </w:rPr>
      </w:pPr>
    </w:p>
    <w:p w:rsidR="00EA3E75" w:rsidRPr="00164B7C" w:rsidRDefault="004E63A1" w:rsidP="0083549E">
      <w:pPr>
        <w:pStyle w:val="Default"/>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 xml:space="preserve">7. </w:t>
      </w:r>
      <w:r w:rsidR="00EA3E75" w:rsidRPr="00164B7C">
        <w:rPr>
          <w:rFonts w:asciiTheme="minorHAnsi" w:hAnsiTheme="minorHAnsi" w:cstheme="minorBidi"/>
          <w:color w:val="auto"/>
          <w:sz w:val="22"/>
          <w:szCs w:val="22"/>
          <w:lang w:val="en-US"/>
        </w:rPr>
        <w:t>Communities can:</w:t>
      </w:r>
    </w:p>
    <w:p w:rsidR="00EA3E75" w:rsidRPr="00164B7C" w:rsidRDefault="00EA3E75" w:rsidP="0083549E">
      <w:pPr>
        <w:pStyle w:val="Default"/>
        <w:numPr>
          <w:ilvl w:val="0"/>
          <w:numId w:val="9"/>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 xml:space="preserve">Challenge and improve </w:t>
      </w:r>
      <w:proofErr w:type="gramStart"/>
      <w:r w:rsidRPr="00164B7C">
        <w:rPr>
          <w:rFonts w:asciiTheme="minorHAnsi" w:hAnsiTheme="minorHAnsi" w:cstheme="minorBidi"/>
          <w:color w:val="auto"/>
          <w:sz w:val="22"/>
          <w:szCs w:val="22"/>
          <w:lang w:val="en-US"/>
        </w:rPr>
        <w:t>their own</w:t>
      </w:r>
      <w:proofErr w:type="gramEnd"/>
      <w:r w:rsidRPr="00164B7C">
        <w:rPr>
          <w:rFonts w:asciiTheme="minorHAnsi" w:hAnsiTheme="minorHAnsi" w:cstheme="minorBidi"/>
          <w:color w:val="auto"/>
          <w:sz w:val="22"/>
          <w:szCs w:val="22"/>
          <w:lang w:val="en-US"/>
        </w:rPr>
        <w:t xml:space="preserve"> beliefs and attitudes.</w:t>
      </w:r>
    </w:p>
    <w:p w:rsidR="00EA3E75" w:rsidRPr="00164B7C" w:rsidRDefault="00EA3E75" w:rsidP="0083549E">
      <w:pPr>
        <w:pStyle w:val="Default"/>
        <w:numPr>
          <w:ilvl w:val="0"/>
          <w:numId w:val="9"/>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Protect the rights of persons with disabilities.</w:t>
      </w:r>
    </w:p>
    <w:p w:rsidR="00EA3E75" w:rsidRPr="00164B7C" w:rsidRDefault="00EA3E75" w:rsidP="0083549E">
      <w:pPr>
        <w:pStyle w:val="Default"/>
        <w:numPr>
          <w:ilvl w:val="0"/>
          <w:numId w:val="9"/>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Promote the inclusion and participation of disabled people in their community.</w:t>
      </w:r>
    </w:p>
    <w:p w:rsidR="00EA3E75" w:rsidRPr="00164B7C" w:rsidRDefault="00EA3E75" w:rsidP="0083549E">
      <w:pPr>
        <w:pStyle w:val="Default"/>
        <w:numPr>
          <w:ilvl w:val="0"/>
          <w:numId w:val="9"/>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Ensure that community environments are accessible for people with disabilities, including schools, recreational areas and cultural facilities.</w:t>
      </w:r>
    </w:p>
    <w:p w:rsidR="00EA3E75" w:rsidRPr="00164B7C" w:rsidRDefault="00EA3E75" w:rsidP="0083549E">
      <w:pPr>
        <w:pStyle w:val="Default"/>
        <w:numPr>
          <w:ilvl w:val="0"/>
          <w:numId w:val="9"/>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Challenge violence against and bullying of people with disabilities.</w:t>
      </w:r>
    </w:p>
    <w:p w:rsidR="00EA3E75" w:rsidRPr="00164B7C" w:rsidRDefault="00EA3E75" w:rsidP="0083549E">
      <w:pPr>
        <w:pStyle w:val="Default"/>
        <w:ind w:firstLine="210"/>
        <w:rPr>
          <w:rFonts w:asciiTheme="minorHAnsi" w:hAnsiTheme="minorHAnsi" w:cstheme="minorBidi"/>
          <w:color w:val="auto"/>
          <w:sz w:val="22"/>
          <w:szCs w:val="22"/>
          <w:lang w:val="en-US"/>
        </w:rPr>
      </w:pPr>
    </w:p>
    <w:p w:rsidR="00EA3E75" w:rsidRPr="00164B7C" w:rsidRDefault="004E63A1" w:rsidP="00EA3E75">
      <w:pPr>
        <w:pStyle w:val="Pa212"/>
        <w:jc w:val="both"/>
        <w:rPr>
          <w:rFonts w:asciiTheme="minorHAnsi" w:hAnsiTheme="minorHAnsi"/>
          <w:sz w:val="22"/>
          <w:szCs w:val="22"/>
          <w:lang w:val="en-US"/>
        </w:rPr>
      </w:pPr>
      <w:r w:rsidRPr="00164B7C">
        <w:rPr>
          <w:rFonts w:asciiTheme="minorHAnsi" w:hAnsiTheme="minorHAnsi"/>
          <w:sz w:val="22"/>
          <w:szCs w:val="22"/>
          <w:lang w:val="en-US"/>
        </w:rPr>
        <w:t xml:space="preserve">8. </w:t>
      </w:r>
      <w:r w:rsidR="00EA3E75" w:rsidRPr="00164B7C">
        <w:rPr>
          <w:rFonts w:asciiTheme="minorHAnsi" w:hAnsiTheme="minorHAnsi"/>
          <w:sz w:val="22"/>
          <w:szCs w:val="22"/>
          <w:lang w:val="en-US"/>
        </w:rPr>
        <w:t>People with disabilities and their families can:</w:t>
      </w:r>
    </w:p>
    <w:p w:rsidR="00EA3E75" w:rsidRPr="00164B7C" w:rsidRDefault="00EA3E75" w:rsidP="0083549E">
      <w:pPr>
        <w:pStyle w:val="Default"/>
        <w:numPr>
          <w:ilvl w:val="0"/>
          <w:numId w:val="10"/>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Support other people with disabilities through peer support, tra</w:t>
      </w:r>
      <w:r w:rsidR="0063195E">
        <w:rPr>
          <w:rFonts w:asciiTheme="minorHAnsi" w:hAnsiTheme="minorHAnsi" w:cstheme="minorBidi"/>
          <w:color w:val="auto"/>
          <w:sz w:val="22"/>
          <w:szCs w:val="22"/>
          <w:lang w:val="en-US"/>
        </w:rPr>
        <w:t>ining, informa</w:t>
      </w:r>
      <w:r w:rsidRPr="00164B7C">
        <w:rPr>
          <w:rFonts w:asciiTheme="minorHAnsi" w:hAnsiTheme="minorHAnsi" w:cstheme="minorBidi"/>
          <w:color w:val="auto"/>
          <w:sz w:val="22"/>
          <w:szCs w:val="22"/>
          <w:lang w:val="en-US"/>
        </w:rPr>
        <w:t>tion, and advice.</w:t>
      </w:r>
    </w:p>
    <w:p w:rsidR="00EA3E75" w:rsidRPr="00164B7C" w:rsidRDefault="00EA3E75" w:rsidP="0083549E">
      <w:pPr>
        <w:pStyle w:val="Default"/>
        <w:numPr>
          <w:ilvl w:val="0"/>
          <w:numId w:val="10"/>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Promote</w:t>
      </w:r>
      <w:r w:rsidR="0063195E">
        <w:rPr>
          <w:rFonts w:asciiTheme="minorHAnsi" w:hAnsiTheme="minorHAnsi" w:cstheme="minorBidi"/>
          <w:color w:val="auto"/>
          <w:sz w:val="22"/>
          <w:szCs w:val="22"/>
          <w:lang w:val="en-US"/>
        </w:rPr>
        <w:t xml:space="preserve"> the rights of persons with dis</w:t>
      </w:r>
      <w:r w:rsidRPr="00164B7C">
        <w:rPr>
          <w:rFonts w:asciiTheme="minorHAnsi" w:hAnsiTheme="minorHAnsi" w:cstheme="minorBidi"/>
          <w:color w:val="auto"/>
          <w:sz w:val="22"/>
          <w:szCs w:val="22"/>
          <w:lang w:val="en-US"/>
        </w:rPr>
        <w:t>abilities within their local communities – for example by conducting access audits, delivering disability equality training, and campaigning for human rights.</w:t>
      </w:r>
    </w:p>
    <w:p w:rsidR="00EA3E75" w:rsidRPr="00164B7C" w:rsidRDefault="00EA3E75" w:rsidP="0083549E">
      <w:pPr>
        <w:pStyle w:val="Default"/>
        <w:numPr>
          <w:ilvl w:val="0"/>
          <w:numId w:val="10"/>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Become involved in awareness-raising and social marketing campaigns.</w:t>
      </w:r>
    </w:p>
    <w:p w:rsidR="00EA3E75" w:rsidRPr="00164B7C" w:rsidRDefault="00EA3E75" w:rsidP="0083549E">
      <w:pPr>
        <w:pStyle w:val="Default"/>
        <w:numPr>
          <w:ilvl w:val="0"/>
          <w:numId w:val="10"/>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Participate in forums (international, national, local) to determine priorities for change, to influence policy, and to shape service delivery.</w:t>
      </w:r>
    </w:p>
    <w:p w:rsidR="00EA3E75" w:rsidRDefault="00EA3E75" w:rsidP="0083549E">
      <w:pPr>
        <w:pStyle w:val="Default"/>
        <w:numPr>
          <w:ilvl w:val="0"/>
          <w:numId w:val="10"/>
        </w:numPr>
        <w:rPr>
          <w:rFonts w:asciiTheme="minorHAnsi" w:hAnsiTheme="minorHAnsi" w:cstheme="minorBidi"/>
          <w:color w:val="auto"/>
          <w:sz w:val="22"/>
          <w:szCs w:val="22"/>
          <w:lang w:val="en-US"/>
        </w:rPr>
      </w:pPr>
      <w:r w:rsidRPr="00164B7C">
        <w:rPr>
          <w:rFonts w:asciiTheme="minorHAnsi" w:hAnsiTheme="minorHAnsi" w:cstheme="minorBidi"/>
          <w:color w:val="auto"/>
          <w:sz w:val="22"/>
          <w:szCs w:val="22"/>
          <w:lang w:val="en-US"/>
        </w:rPr>
        <w:t>Participate in research projects.</w:t>
      </w:r>
    </w:p>
    <w:p w:rsidR="0063195E" w:rsidRPr="00164B7C" w:rsidRDefault="0063195E" w:rsidP="0063195E">
      <w:pPr>
        <w:pStyle w:val="Default"/>
        <w:ind w:left="720"/>
        <w:rPr>
          <w:rFonts w:asciiTheme="minorHAnsi" w:hAnsiTheme="minorHAnsi" w:cstheme="minorBidi"/>
          <w:color w:val="auto"/>
          <w:sz w:val="22"/>
          <w:szCs w:val="22"/>
          <w:lang w:val="en-US"/>
        </w:rPr>
      </w:pPr>
    </w:p>
    <w:p w:rsidR="0083549E" w:rsidRDefault="0083549E" w:rsidP="00EA3E75"/>
    <w:p w:rsidR="00896ADE" w:rsidRDefault="00896ADE" w:rsidP="00EA3E75">
      <w:r>
        <w:t>Lassen Sie mich im zweiten Teil meines Vertrage</w:t>
      </w:r>
      <w:r w:rsidR="0063195E">
        <w:t>s</w:t>
      </w:r>
      <w:r>
        <w:t xml:space="preserve"> einige Akzente zur Situation in Europa, Deutschland und Österreich setzen.</w:t>
      </w:r>
      <w:r>
        <w:br/>
        <w:t>Wenige Zahlen, obwohl gerade im Fehlen verlässlicheren Zahlenmaterials ein gewisses Handicap in der Schlagkraft von Argumenten liegt. Ich will mich auf „Sehschädigung“ einschränken:</w:t>
      </w:r>
    </w:p>
    <w:p w:rsidR="006616CA" w:rsidRDefault="004E63A1" w:rsidP="006616CA">
      <w:pPr>
        <w:pStyle w:val="Listenabsatz"/>
        <w:numPr>
          <w:ilvl w:val="0"/>
          <w:numId w:val="11"/>
        </w:numPr>
      </w:pPr>
      <w:r>
        <w:t>Weltweit gibt es 37 Millionen blinde und 124 Millionen sehbehinderte Menschen.</w:t>
      </w:r>
      <w:r>
        <w:br/>
        <w:t>Alle 5 Sekunden erblindert ein Mensch, 90% davon leben in Entwicklungsländern.</w:t>
      </w:r>
    </w:p>
    <w:p w:rsidR="004E63A1" w:rsidRDefault="004E63A1" w:rsidP="006616CA">
      <w:pPr>
        <w:pStyle w:val="Listenabsatz"/>
        <w:numPr>
          <w:ilvl w:val="0"/>
          <w:numId w:val="11"/>
        </w:numPr>
      </w:pPr>
      <w:r>
        <w:t>10.000.000 Menschen in Europa sind blind oder sehbehindert.</w:t>
      </w:r>
    </w:p>
    <w:p w:rsidR="004E63A1" w:rsidRDefault="004E63A1" w:rsidP="006616CA">
      <w:pPr>
        <w:pStyle w:val="Listenabsatz"/>
        <w:numPr>
          <w:ilvl w:val="0"/>
          <w:numId w:val="11"/>
        </w:numPr>
      </w:pPr>
      <w:r>
        <w:t xml:space="preserve">In Deutschland leben rund 145.000 blinde und über 500.000 sehbehinderte </w:t>
      </w:r>
      <w:r w:rsidR="006616CA">
        <w:t>Menschen,</w:t>
      </w:r>
      <w:r>
        <w:t xml:space="preserve"> von den 145.000 Blinden sind 6% unter 18 Jahren, 7% </w:t>
      </w:r>
      <w:r w:rsidR="006616CA">
        <w:t>18</w:t>
      </w:r>
      <w:r>
        <w:t xml:space="preserve">-30 Jahre, </w:t>
      </w:r>
      <w:r w:rsidR="0063195E">
        <w:t>17% 30-60 J</w:t>
      </w:r>
      <w:r w:rsidR="006616CA">
        <w:t>ahre; die restlichen 70% sind 60 Jahre und älter. D.h. ca. 35.000 blinde Menschen sind in einem erwerbsfähigen Alter, weniger als 30% von i</w:t>
      </w:r>
      <w:r w:rsidR="0063195E">
        <w:t>hnen haben einen Arbeitsplatz.</w:t>
      </w:r>
      <w:r w:rsidR="0063195E">
        <w:br/>
        <w:t>N</w:t>
      </w:r>
      <w:r w:rsidR="006616CA">
        <w:t xml:space="preserve">ach einer Studie der deutschen Ophthalmologischen Gesellschaft ist 2030 von 25% mehr Blinden und Sehbehinderten in Deutschland auszugehen –dies als ein Problem des Alterns. AMD –Altersabhängige </w:t>
      </w:r>
      <w:proofErr w:type="spellStart"/>
      <w:r w:rsidR="006616CA">
        <w:t>Makula</w:t>
      </w:r>
      <w:r w:rsidR="00A67C39">
        <w:t>d</w:t>
      </w:r>
      <w:r w:rsidR="006616CA">
        <w:t>egeneration</w:t>
      </w:r>
      <w:proofErr w:type="spellEnd"/>
      <w:r w:rsidR="006616CA">
        <w:t xml:space="preserve"> (Erkrankung der Mitte der Netzhaut) ist mir 50% die </w:t>
      </w:r>
      <w:r w:rsidR="00A67C39">
        <w:t>häufigste</w:t>
      </w:r>
      <w:r w:rsidR="006616CA">
        <w:t xml:space="preserve"> Ursache </w:t>
      </w:r>
      <w:r w:rsidR="0063195E">
        <w:t>von neuer Erblindung und starker Seheinschränkung. Glaukom –„grün</w:t>
      </w:r>
      <w:r w:rsidR="006616CA">
        <w:t>er Star“ folgt mit 15 %, diabetische Retinopathie als Folge von Diabetes mellitus liegt bei 10%.</w:t>
      </w:r>
    </w:p>
    <w:p w:rsidR="006616CA" w:rsidRDefault="006616CA" w:rsidP="006616CA">
      <w:pPr>
        <w:pStyle w:val="Listenabsatz"/>
        <w:numPr>
          <w:ilvl w:val="0"/>
          <w:numId w:val="11"/>
        </w:numPr>
      </w:pPr>
      <w:r>
        <w:t>In Österreich wird von ca. 22.000 blinden und 280.000 sehbehinderten Menschen ausgegangen.</w:t>
      </w:r>
    </w:p>
    <w:p w:rsidR="006616CA" w:rsidRDefault="006616CA" w:rsidP="00A67C39">
      <w:pPr>
        <w:pStyle w:val="Listenabsatz"/>
        <w:numPr>
          <w:ilvl w:val="0"/>
          <w:numId w:val="11"/>
        </w:numPr>
      </w:pPr>
      <w:r>
        <w:t>Für beide Länder vergleichbar:</w:t>
      </w:r>
      <w:r>
        <w:br/>
      </w:r>
      <w:r w:rsidR="00A67C39">
        <w:t>die berufliche Tätigkeit von Sehgeschädigten konzentriert sich auf Büro- und Gesundheitsberufe.</w:t>
      </w:r>
      <w:r w:rsidR="00A67C39">
        <w:br/>
        <w:t>Eine bayrische Studie von Ende 2008 konkretisiert</w:t>
      </w:r>
    </w:p>
    <w:p w:rsidR="00A67C39" w:rsidRDefault="00A67C39" w:rsidP="00A67C39">
      <w:pPr>
        <w:pStyle w:val="Listenabsatz"/>
        <w:numPr>
          <w:ilvl w:val="1"/>
          <w:numId w:val="11"/>
        </w:numPr>
      </w:pPr>
      <w:r>
        <w:t>Berufe in der Telekommunikation</w:t>
      </w:r>
      <w:r>
        <w:br/>
        <w:t>(Telefonist, Call-Center)</w:t>
      </w:r>
    </w:p>
    <w:p w:rsidR="00A67C39" w:rsidRDefault="00A67C39" w:rsidP="00A67C39">
      <w:pPr>
        <w:pStyle w:val="Listenabsatz"/>
        <w:numPr>
          <w:ilvl w:val="1"/>
          <w:numId w:val="11"/>
        </w:numPr>
      </w:pPr>
      <w:r>
        <w:t>Masseure, Physiotherapeuten</w:t>
      </w:r>
    </w:p>
    <w:p w:rsidR="00A67C39" w:rsidRDefault="00A67C39" w:rsidP="00A67C39">
      <w:pPr>
        <w:pStyle w:val="Listenabsatz"/>
        <w:numPr>
          <w:ilvl w:val="1"/>
          <w:numId w:val="11"/>
        </w:numPr>
      </w:pPr>
      <w:r>
        <w:t>Verwaltungsangestellte</w:t>
      </w:r>
    </w:p>
    <w:p w:rsidR="00A67C39" w:rsidRDefault="00A67C39" w:rsidP="00A67C39">
      <w:pPr>
        <w:pStyle w:val="Listenabsatz"/>
        <w:numPr>
          <w:ilvl w:val="0"/>
          <w:numId w:val="11"/>
        </w:numPr>
      </w:pPr>
      <w:r>
        <w:t>Unter den bundesweit 2 Millionen Studierenden in Deutschland ist der prozentuale Anteil von Sehgeschädigten gerademal 2,5%, d.h. eklatant unterrepräsentiert.</w:t>
      </w:r>
    </w:p>
    <w:p w:rsidR="00A67C39" w:rsidRDefault="00A67C39" w:rsidP="00A67C39">
      <w:pPr>
        <w:pStyle w:val="Listenabsatz"/>
        <w:numPr>
          <w:ilvl w:val="0"/>
          <w:numId w:val="11"/>
        </w:numPr>
      </w:pPr>
      <w:r>
        <w:t>Weniger als 30% der Sehgeschädigten im berufsfähigen Alter sind in einem regulär</w:t>
      </w:r>
      <w:r w:rsidR="004070F3">
        <w:t>en Arbeitsverhältnis</w:t>
      </w:r>
      <w:proofErr w:type="gramStart"/>
      <w:r w:rsidR="004070F3">
        <w:t>,</w:t>
      </w:r>
      <w:proofErr w:type="gramEnd"/>
      <w:r w:rsidR="004070F3">
        <w:br/>
        <w:t>90% der Berufstätigen arbeiten in Verwaltungen oder gemeinnützigen Organisationen.</w:t>
      </w:r>
      <w:r w:rsidR="004070F3">
        <w:br/>
        <w:t>Die wenigsten kommen in der freien Wirtschaft unter.</w:t>
      </w:r>
    </w:p>
    <w:p w:rsidR="004070F3" w:rsidRDefault="004070F3" w:rsidP="00A67C39">
      <w:pPr>
        <w:pStyle w:val="Listenabsatz"/>
        <w:numPr>
          <w:ilvl w:val="0"/>
          <w:numId w:val="11"/>
        </w:numPr>
      </w:pPr>
      <w:r>
        <w:t>Dabei i</w:t>
      </w:r>
      <w:r w:rsidR="00B613AE">
        <w:t>st die staatliche Förderung –L</w:t>
      </w:r>
      <w:r>
        <w:t>ohn- und Gehaltszuschuss- eine wichtige Einstiegskomponente, dennoch landen viele nach zweijähriger Förderung wieder auf den Beratungsplätzen der Arbeitsagenturen.</w:t>
      </w:r>
    </w:p>
    <w:p w:rsidR="004070F3" w:rsidRDefault="004070F3" w:rsidP="00A67C39">
      <w:pPr>
        <w:pStyle w:val="Listenabsatz"/>
        <w:numPr>
          <w:ilvl w:val="0"/>
          <w:numId w:val="11"/>
        </w:numPr>
      </w:pPr>
      <w:r>
        <w:t>Bei den Akademischen Berufen sind Psychologen, Geistes- und Sozialwissenschaftler, Pädagogen, Juristen am meisten von Arbeitslosigkeit betroffen, vor allen dann, wenn</w:t>
      </w:r>
      <w:r w:rsidR="00B613AE">
        <w:t xml:space="preserve"> </w:t>
      </w:r>
      <w:r>
        <w:t>der Umgang mit dem Rechner, das S</w:t>
      </w:r>
      <w:r w:rsidR="00066F22">
        <w:t>urfen</w:t>
      </w:r>
      <w:r>
        <w:t xml:space="preserve"> im Internet</w:t>
      </w:r>
      <w:r w:rsidR="00066F22">
        <w:t>,</w:t>
      </w:r>
      <w:r w:rsidR="00B613AE">
        <w:t xml:space="preserve"> die Arbeit mit mathematischen</w:t>
      </w:r>
      <w:r>
        <w:t xml:space="preserve"> Forme</w:t>
      </w:r>
      <w:r w:rsidR="00B613AE">
        <w:t>ln, Tabellen und Statistiken nicht oder nur</w:t>
      </w:r>
      <w:r>
        <w:t xml:space="preserve"> reduziert vorhanden sind.</w:t>
      </w:r>
    </w:p>
    <w:p w:rsidR="00B613AE" w:rsidRDefault="00B613AE" w:rsidP="00066F22">
      <w:pPr>
        <w:ind w:left="360"/>
      </w:pPr>
    </w:p>
    <w:p w:rsidR="00B613AE" w:rsidRDefault="004070F3" w:rsidP="00066F22">
      <w:pPr>
        <w:ind w:left="360"/>
      </w:pPr>
      <w:r>
        <w:t>Szenenwechsel!</w:t>
      </w:r>
    </w:p>
    <w:p w:rsidR="00B613AE" w:rsidRDefault="004070F3" w:rsidP="00066F22">
      <w:pPr>
        <w:ind w:left="360"/>
      </w:pPr>
      <w:r>
        <w:br/>
        <w:t>1987 startet</w:t>
      </w:r>
      <w:r w:rsidR="00B613AE">
        <w:t>e</w:t>
      </w:r>
      <w:r>
        <w:t xml:space="preserve"> die Universität Karlsruhe </w:t>
      </w:r>
      <w:r w:rsidR="00066F22">
        <w:t>(</w:t>
      </w:r>
      <w:r>
        <w:t>TH)</w:t>
      </w:r>
      <w:r w:rsidR="00066F22">
        <w:t xml:space="preserve"> mit einem Modellversuch </w:t>
      </w:r>
    </w:p>
    <w:p w:rsidR="00B613AE" w:rsidRDefault="00066F22" w:rsidP="00066F22">
      <w:pPr>
        <w:ind w:left="360"/>
      </w:pPr>
      <w:r>
        <w:t xml:space="preserve">„Informatik für Blinde –Studium in Informatik und Wirtschaftsingenieurwesen für Sehgeschädigte“. </w:t>
      </w:r>
    </w:p>
    <w:p w:rsidR="00066F22" w:rsidRDefault="00066F22" w:rsidP="00066F22">
      <w:pPr>
        <w:ind w:left="360"/>
      </w:pPr>
      <w:r>
        <w:t xml:space="preserve">Dieser auf 5 Jahre von Bund und Land geförderte Modellversuch der  BLK (Bund-Länder </w:t>
      </w:r>
      <w:r w:rsidR="00B613AE">
        <w:t xml:space="preserve">Kommission für </w:t>
      </w:r>
      <w:r>
        <w:t>Bildungsplanung und Forschungsförderung) hatte das Ziel,</w:t>
      </w:r>
    </w:p>
    <w:p w:rsidR="00066F22" w:rsidRDefault="00066F22" w:rsidP="00066F22">
      <w:pPr>
        <w:pStyle w:val="Listenabsatz"/>
        <w:numPr>
          <w:ilvl w:val="0"/>
          <w:numId w:val="12"/>
        </w:numPr>
      </w:pPr>
      <w:r>
        <w:t xml:space="preserve">unter ausschließlicher Ausrichtung auf elektronische Informations- und Kommunikationstechnologien ( kein </w:t>
      </w:r>
      <w:proofErr w:type="spellStart"/>
      <w:r>
        <w:t>Braillepapier</w:t>
      </w:r>
      <w:proofErr w:type="spellEnd"/>
      <w:r>
        <w:t>, keine Audiokassetten),</w:t>
      </w:r>
    </w:p>
    <w:p w:rsidR="00066F22" w:rsidRDefault="00066F22" w:rsidP="00066F22">
      <w:pPr>
        <w:pStyle w:val="Listenabsatz"/>
        <w:numPr>
          <w:ilvl w:val="0"/>
          <w:numId w:val="12"/>
        </w:numPr>
      </w:pPr>
      <w:r>
        <w:t xml:space="preserve">auf der Basis eines ausgeprägten </w:t>
      </w:r>
      <w:proofErr w:type="spellStart"/>
      <w:r>
        <w:t>Beratungs</w:t>
      </w:r>
      <w:proofErr w:type="spellEnd"/>
      <w:r w:rsidR="00B613AE">
        <w:t>,</w:t>
      </w:r>
      <w:r>
        <w:t>- Informations- und Betreuungskonzeptes im Leben</w:t>
      </w:r>
      <w:r w:rsidR="00B613AE">
        <w:t>s—</w:t>
      </w:r>
      <w:r>
        <w:t>Arbeit</w:t>
      </w:r>
      <w:r w:rsidR="00B613AE">
        <w:t>s-</w:t>
      </w:r>
      <w:r>
        <w:t xml:space="preserve"> und Lernprozess von Schule-Hochschule- Arbeitsmarkt,</w:t>
      </w:r>
    </w:p>
    <w:p w:rsidR="00B613AE" w:rsidRDefault="00066F22" w:rsidP="00066F22">
      <w:pPr>
        <w:pStyle w:val="Listenabsatz"/>
        <w:numPr>
          <w:ilvl w:val="0"/>
          <w:numId w:val="12"/>
        </w:numPr>
      </w:pPr>
      <w:r>
        <w:t>bei gleichseitiger adaptierter Forschung im pädagogischen, psychologischen sowie IT / AT-Bereichen (Mathematik, Grafik</w:t>
      </w:r>
      <w:r w:rsidRPr="006B2BD8">
        <w:t xml:space="preserve">, </w:t>
      </w:r>
      <w:proofErr w:type="spellStart"/>
      <w:r w:rsidRPr="006B2BD8">
        <w:t>Accessibility</w:t>
      </w:r>
      <w:proofErr w:type="spellEnd"/>
      <w:r>
        <w:t>)</w:t>
      </w:r>
      <w:r w:rsidR="00C637D9">
        <w:t xml:space="preserve"> </w:t>
      </w:r>
    </w:p>
    <w:p w:rsidR="00066F22" w:rsidRDefault="00C637D9" w:rsidP="00B613AE">
      <w:r>
        <w:t>Blinden und Sehbehinderten neue</w:t>
      </w:r>
      <w:r w:rsidR="00B613AE">
        <w:t>,</w:t>
      </w:r>
      <w:r>
        <w:t xml:space="preserve"> ihnen bisher weitgehend unzugängliche</w:t>
      </w:r>
      <w:r w:rsidR="00B613AE">
        <w:t>,</w:t>
      </w:r>
      <w:r>
        <w:t xml:space="preserve"> Studien- und Berufsfelder zu eröffnen.</w:t>
      </w:r>
    </w:p>
    <w:p w:rsidR="00B613AE" w:rsidRDefault="00C637D9" w:rsidP="00EA3E75">
      <w:r>
        <w:t xml:space="preserve">Auf einer der ersten </w:t>
      </w:r>
      <w:proofErr w:type="spellStart"/>
      <w:r>
        <w:t>ICCHP´s</w:t>
      </w:r>
      <w:proofErr w:type="spellEnd"/>
      <w:r>
        <w:t xml:space="preserve"> habe ich dieses Konzept vorgestellt.</w:t>
      </w:r>
      <w:r>
        <w:br/>
        <w:t>Roland Wagner, der gerade mit der ICCHP ein Podium der „Informatik für Behinderte“ zusammen mit der OCG etabliert hatte, das sich in den 1</w:t>
      </w:r>
      <w:r w:rsidR="00B613AE">
        <w:t>7</w:t>
      </w:r>
      <w:r>
        <w:t xml:space="preserve"> Jahren zu einer weltweit herausragenden  Plattform des Austauschs von Hochschullehrern, Forscher</w:t>
      </w:r>
      <w:r w:rsidR="00B613AE">
        <w:t>n</w:t>
      </w:r>
      <w:r>
        <w:t>, Entwickle</w:t>
      </w:r>
      <w:r w:rsidR="00B613AE">
        <w:t>rn und Anwendern entwickelt hat,</w:t>
      </w:r>
      <w:r w:rsidR="00B613AE">
        <w:br/>
        <w:t>d</w:t>
      </w:r>
      <w:r>
        <w:t>ieser Visionär Roland Wagner rief mich in Karlsruhe an und verkündete, dass er ein derartiges Zentr</w:t>
      </w:r>
      <w:r w:rsidR="00B613AE">
        <w:t>um in Linz aufbauen müsse:</w:t>
      </w:r>
      <w:r w:rsidR="00B613AE">
        <w:br/>
      </w:r>
    </w:p>
    <w:p w:rsidR="00B613AE" w:rsidRDefault="00B613AE" w:rsidP="00EA3E75">
      <w:r>
        <w:t>Die G</w:t>
      </w:r>
      <w:r w:rsidR="00C637D9">
        <w:t>eburtsstunde des Instituts „integriert studieren“</w:t>
      </w:r>
      <w:r w:rsidR="00C47965">
        <w:t xml:space="preserve"> hatte geschlagen!</w:t>
      </w:r>
    </w:p>
    <w:p w:rsidR="006616CA" w:rsidRDefault="00C47965" w:rsidP="00EA3E75">
      <w:r>
        <w:br/>
        <w:t xml:space="preserve">Heute ist diese Errichtung der </w:t>
      </w:r>
      <w:r w:rsidR="00AE63F3">
        <w:t>„</w:t>
      </w:r>
      <w:r>
        <w:t>Johannes Kepler-Universität</w:t>
      </w:r>
      <w:r w:rsidR="00AE63F3">
        <w:t xml:space="preserve">“ </w:t>
      </w:r>
      <w:r>
        <w:t xml:space="preserve"> international führend.</w:t>
      </w:r>
      <w:r>
        <w:br/>
        <w:t>Manch neue Schwerpunkte und Akzente haben die Kollegi</w:t>
      </w:r>
      <w:r w:rsidR="00AE63F3">
        <w:t>nnen und Kollegen unter der Leit</w:t>
      </w:r>
      <w:r>
        <w:t xml:space="preserve">ung von Klaus </w:t>
      </w:r>
      <w:proofErr w:type="spellStart"/>
      <w:r>
        <w:t>Miesenberger</w:t>
      </w:r>
      <w:proofErr w:type="spellEnd"/>
      <w:r>
        <w:t xml:space="preserve"> gesetzt, so u. a.</w:t>
      </w:r>
    </w:p>
    <w:p w:rsidR="00C47965" w:rsidRDefault="00C47965" w:rsidP="00C47965">
      <w:pPr>
        <w:pStyle w:val="Listenabsatz"/>
        <w:numPr>
          <w:ilvl w:val="0"/>
          <w:numId w:val="13"/>
        </w:numPr>
      </w:pPr>
      <w:r w:rsidRPr="006B2BD8">
        <w:t>“</w:t>
      </w:r>
      <w:proofErr w:type="spellStart"/>
      <w:r w:rsidRPr="006B2BD8">
        <w:t>Uniability</w:t>
      </w:r>
      <w:proofErr w:type="spellEnd"/>
      <w:r w:rsidRPr="006B2BD8">
        <w:t xml:space="preserve">” </w:t>
      </w:r>
      <w:r w:rsidRPr="00C47965">
        <w:t xml:space="preserve">– eine </w:t>
      </w:r>
      <w:r>
        <w:t>Arge von Menschen mit Behinderungen</w:t>
      </w:r>
      <w:r w:rsidR="00AE63F3">
        <w:t xml:space="preserve"> und chronischen Erkrankungen an</w:t>
      </w:r>
      <w:r>
        <w:t xml:space="preserve"> Österreich</w:t>
      </w:r>
      <w:r w:rsidR="00AE63F3">
        <w:t xml:space="preserve">s </w:t>
      </w:r>
      <w:r>
        <w:t xml:space="preserve"> Universitäten und Hochschulen und ein enges Netzwerk mit derzeit 5 Partneruniversitäten in Österreich,</w:t>
      </w:r>
    </w:p>
    <w:p w:rsidR="00C47965" w:rsidRDefault="00F44A9C" w:rsidP="00F44A9C">
      <w:pPr>
        <w:pStyle w:val="Listenabsatz"/>
        <w:numPr>
          <w:ilvl w:val="0"/>
          <w:numId w:val="13"/>
        </w:numPr>
        <w:rPr>
          <w:lang w:val="en-US"/>
        </w:rPr>
      </w:pPr>
      <w:r>
        <w:t xml:space="preserve">Forschungsfelder </w:t>
      </w:r>
      <w:r w:rsidR="00AE63F3">
        <w:t xml:space="preserve">wie </w:t>
      </w:r>
      <w:r>
        <w:t xml:space="preserve">AT, </w:t>
      </w:r>
      <w:r w:rsidRPr="00F44A9C">
        <w:rPr>
          <w:lang w:val="en-US"/>
        </w:rPr>
        <w:t>Design for All, e-Inclusion, e-Accessibility.</w:t>
      </w:r>
    </w:p>
    <w:p w:rsidR="00AE63F3" w:rsidRDefault="00F44A9C" w:rsidP="00F44A9C">
      <w:r w:rsidRPr="00F44A9C">
        <w:t xml:space="preserve">Klaus </w:t>
      </w:r>
      <w:proofErr w:type="spellStart"/>
      <w:r w:rsidRPr="00F44A9C">
        <w:t>Miesenberger</w:t>
      </w:r>
      <w:proofErr w:type="spellEnd"/>
      <w:r w:rsidRPr="00F44A9C">
        <w:t xml:space="preserve"> ist derzeit Präsident </w:t>
      </w:r>
      <w:r>
        <w:t xml:space="preserve">der </w:t>
      </w:r>
      <w:r w:rsidR="00AE63F3">
        <w:t>„</w:t>
      </w:r>
      <w:proofErr w:type="spellStart"/>
      <w:r w:rsidRPr="006B2BD8">
        <w:t>Association</w:t>
      </w:r>
      <w:proofErr w:type="spellEnd"/>
      <w:r w:rsidRPr="006B2BD8">
        <w:t xml:space="preserve"> </w:t>
      </w:r>
      <w:proofErr w:type="spellStart"/>
      <w:r w:rsidRPr="006B2BD8">
        <w:t>of</w:t>
      </w:r>
      <w:proofErr w:type="spellEnd"/>
      <w:r w:rsidRPr="006B2BD8">
        <w:t xml:space="preserve"> </w:t>
      </w:r>
      <w:proofErr w:type="spellStart"/>
      <w:r w:rsidRPr="006B2BD8">
        <w:t>the</w:t>
      </w:r>
      <w:proofErr w:type="spellEnd"/>
      <w:r w:rsidRPr="006B2BD8">
        <w:t xml:space="preserve"> </w:t>
      </w:r>
      <w:proofErr w:type="spellStart"/>
      <w:r w:rsidRPr="006B2BD8">
        <w:t>Advancement</w:t>
      </w:r>
      <w:proofErr w:type="spellEnd"/>
      <w:r w:rsidRPr="006B2BD8">
        <w:t xml:space="preserve"> </w:t>
      </w:r>
      <w:proofErr w:type="spellStart"/>
      <w:r w:rsidRPr="006B2BD8">
        <w:t>of</w:t>
      </w:r>
      <w:proofErr w:type="spellEnd"/>
      <w:r w:rsidRPr="006B2BD8">
        <w:t xml:space="preserve"> </w:t>
      </w:r>
      <w:proofErr w:type="spellStart"/>
      <w:r w:rsidRPr="006B2BD8">
        <w:t>Assistive</w:t>
      </w:r>
      <w:proofErr w:type="spellEnd"/>
      <w:r w:rsidRPr="006B2BD8">
        <w:t xml:space="preserve"> Technology in Europe</w:t>
      </w:r>
      <w:r w:rsidR="00AE63F3">
        <w:t>“</w:t>
      </w:r>
      <w:r w:rsidRPr="006B2BD8">
        <w:t xml:space="preserve"> (AAATE).</w:t>
      </w:r>
      <w:r w:rsidRPr="006B2BD8">
        <w:br/>
      </w:r>
      <w:r>
        <w:t>Ich glaube, es ist nur konsequent und würdigt sein ruheloses Engagement in der Entwicklung und Förderung von Potentialen des Computers und des Internets für die Integration von Menschen mit Behinderungen</w:t>
      </w:r>
      <w:proofErr w:type="gramStart"/>
      <w:r>
        <w:t>.</w:t>
      </w:r>
      <w:r w:rsidR="00AE63F3">
        <w:t>—</w:t>
      </w:r>
      <w:proofErr w:type="gramEnd"/>
    </w:p>
    <w:p w:rsidR="00AE63F3" w:rsidRDefault="00F44A9C" w:rsidP="00F44A9C">
      <w:r>
        <w:t>nutzerorientierte Anwendungen für die Personengruppen und die Kommunikation zwischen Mensch und Maschine sind die ihn treibenden Schwerpunkte!-</w:t>
      </w:r>
    </w:p>
    <w:p w:rsidR="00AE63F3" w:rsidRDefault="00F44A9C" w:rsidP="00F44A9C">
      <w:r>
        <w:t xml:space="preserve"> ich sagte, es ist nur konsequent, dass Prof. </w:t>
      </w:r>
      <w:r w:rsidR="00190907">
        <w:t>Klaus</w:t>
      </w:r>
      <w:r>
        <w:t xml:space="preserve"> </w:t>
      </w:r>
      <w:proofErr w:type="spellStart"/>
      <w:r>
        <w:t>Miesenberger</w:t>
      </w:r>
      <w:proofErr w:type="spellEnd"/>
      <w:r>
        <w:t xml:space="preserve"> vom TRACE Center der </w:t>
      </w:r>
      <w:r w:rsidRPr="006B2BD8">
        <w:t xml:space="preserve">University </w:t>
      </w:r>
      <w:proofErr w:type="spellStart"/>
      <w:r w:rsidRPr="006B2BD8">
        <w:t>of</w:t>
      </w:r>
      <w:proofErr w:type="spellEnd"/>
      <w:r w:rsidRPr="006B2BD8">
        <w:t xml:space="preserve"> Wiscon</w:t>
      </w:r>
      <w:r w:rsidR="00190907" w:rsidRPr="006B2BD8">
        <w:t>s</w:t>
      </w:r>
      <w:r w:rsidRPr="006B2BD8">
        <w:t>in</w:t>
      </w:r>
      <w:r>
        <w:t xml:space="preserve"> den </w:t>
      </w:r>
      <w:r w:rsidR="00AE63F3">
        <w:t>„</w:t>
      </w:r>
      <w:r>
        <w:t xml:space="preserve">2011 </w:t>
      </w:r>
      <w:proofErr w:type="spellStart"/>
      <w:r w:rsidR="00190907" w:rsidRPr="006B2BD8">
        <w:t>Catal</w:t>
      </w:r>
      <w:r w:rsidRPr="006B2BD8">
        <w:t>y</w:t>
      </w:r>
      <w:r w:rsidR="00190907" w:rsidRPr="006B2BD8">
        <w:t>s</w:t>
      </w:r>
      <w:r w:rsidRPr="006B2BD8">
        <w:t>t</w:t>
      </w:r>
      <w:proofErr w:type="spellEnd"/>
      <w:r w:rsidRPr="006B2BD8">
        <w:t xml:space="preserve"> Award</w:t>
      </w:r>
      <w:r w:rsidR="00AE63F3">
        <w:t>“</w:t>
      </w:r>
      <w:r>
        <w:t xml:space="preserve"> überreicht wurde.</w:t>
      </w:r>
    </w:p>
    <w:p w:rsidR="00AE63F3" w:rsidRDefault="00190907" w:rsidP="00F44A9C">
      <w:pPr>
        <w:rPr>
          <w:lang w:val="en-US"/>
        </w:rPr>
      </w:pPr>
      <w:r w:rsidRPr="003C0CB4">
        <w:rPr>
          <w:lang w:val="en-US"/>
        </w:rPr>
        <w:br/>
      </w:r>
      <w:r w:rsidRPr="00AE63F3">
        <w:rPr>
          <w:lang w:val="en-US"/>
        </w:rPr>
        <w:t xml:space="preserve">Die </w:t>
      </w:r>
      <w:proofErr w:type="spellStart"/>
      <w:r w:rsidRPr="00AE63F3">
        <w:rPr>
          <w:lang w:val="en-US"/>
        </w:rPr>
        <w:t>Würdigung</w:t>
      </w:r>
      <w:proofErr w:type="spellEnd"/>
      <w:r w:rsidRPr="00AE63F3">
        <w:rPr>
          <w:lang w:val="en-US"/>
        </w:rPr>
        <w:t xml:space="preserve"> der </w:t>
      </w:r>
      <w:r w:rsidR="00AE63F3">
        <w:rPr>
          <w:lang w:val="en-US"/>
        </w:rPr>
        <w:t>“</w:t>
      </w:r>
      <w:r w:rsidRPr="00AE63F3">
        <w:rPr>
          <w:lang w:val="en-US"/>
        </w:rPr>
        <w:t>Board of Regents</w:t>
      </w:r>
      <w:r w:rsidR="00AE63F3" w:rsidRPr="00AE63F3">
        <w:rPr>
          <w:lang w:val="en-US"/>
        </w:rPr>
        <w:t xml:space="preserve"> of t</w:t>
      </w:r>
      <w:r w:rsidRPr="00AE63F3">
        <w:rPr>
          <w:lang w:val="en-US"/>
        </w:rPr>
        <w:t>he University of Wisconsin</w:t>
      </w:r>
      <w:r w:rsidR="00AE63F3">
        <w:rPr>
          <w:lang w:val="en-US"/>
        </w:rPr>
        <w:t>”</w:t>
      </w:r>
      <w:r w:rsidRPr="00AE63F3">
        <w:rPr>
          <w:lang w:val="en-US"/>
        </w:rPr>
        <w:t xml:space="preserve"> in </w:t>
      </w:r>
      <w:proofErr w:type="spellStart"/>
      <w:r w:rsidRPr="00AE63F3">
        <w:rPr>
          <w:lang w:val="en-US"/>
        </w:rPr>
        <w:t>ihrem</w:t>
      </w:r>
      <w:proofErr w:type="spellEnd"/>
      <w:r w:rsidRPr="00AE63F3">
        <w:rPr>
          <w:lang w:val="en-US"/>
        </w:rPr>
        <w:t xml:space="preserve"> </w:t>
      </w:r>
      <w:proofErr w:type="spellStart"/>
      <w:r w:rsidRPr="00AE63F3">
        <w:rPr>
          <w:lang w:val="en-US"/>
        </w:rPr>
        <w:t>letzten</w:t>
      </w:r>
      <w:proofErr w:type="spellEnd"/>
      <w:r w:rsidRPr="00AE63F3">
        <w:rPr>
          <w:lang w:val="en-US"/>
        </w:rPr>
        <w:t xml:space="preserve"> </w:t>
      </w:r>
      <w:proofErr w:type="spellStart"/>
      <w:r w:rsidRPr="00AE63F3">
        <w:rPr>
          <w:lang w:val="en-US"/>
        </w:rPr>
        <w:t>Absatz</w:t>
      </w:r>
      <w:proofErr w:type="spellEnd"/>
      <w:proofErr w:type="gramStart"/>
      <w:r w:rsidRPr="00AE63F3">
        <w:rPr>
          <w:lang w:val="en-US"/>
        </w:rPr>
        <w:t>:</w:t>
      </w:r>
      <w:proofErr w:type="gramEnd"/>
      <w:r w:rsidRPr="00AE63F3">
        <w:rPr>
          <w:lang w:val="en-US"/>
        </w:rPr>
        <w:br/>
        <w:t xml:space="preserve">„Prof. </w:t>
      </w:r>
      <w:proofErr w:type="spellStart"/>
      <w:r w:rsidRPr="00AE63F3">
        <w:rPr>
          <w:lang w:val="en-US"/>
        </w:rPr>
        <w:t>Miesenberger</w:t>
      </w:r>
      <w:proofErr w:type="spellEnd"/>
      <w:r w:rsidRPr="00AE63F3">
        <w:rPr>
          <w:lang w:val="en-US"/>
        </w:rPr>
        <w:t xml:space="preserve"> in a classic catalyst, helping others to achieve- both directly and through the many organizations, programs, an</w:t>
      </w:r>
      <w:r w:rsidR="00AE63F3">
        <w:rPr>
          <w:lang w:val="en-US"/>
        </w:rPr>
        <w:t>d</w:t>
      </w:r>
      <w:r w:rsidRPr="00AE63F3">
        <w:rPr>
          <w:lang w:val="en-US"/>
        </w:rPr>
        <w:t xml:space="preserve"> new leaders </w:t>
      </w:r>
      <w:r w:rsidR="00AE63F3">
        <w:rPr>
          <w:lang w:val="en-US"/>
        </w:rPr>
        <w:t xml:space="preserve">- </w:t>
      </w:r>
      <w:r w:rsidRPr="00AE63F3">
        <w:rPr>
          <w:lang w:val="en-US"/>
        </w:rPr>
        <w:t>he has helped cr</w:t>
      </w:r>
      <w:r>
        <w:rPr>
          <w:lang w:val="en-US"/>
        </w:rPr>
        <w:t>eate. These individual, programs and leaders will co</w:t>
      </w:r>
      <w:r w:rsidR="00AE63F3">
        <w:rPr>
          <w:lang w:val="en-US"/>
        </w:rPr>
        <w:t>ntinue to help and to achieve fa</w:t>
      </w:r>
      <w:r>
        <w:rPr>
          <w:lang w:val="en-US"/>
        </w:rPr>
        <w:t>r beyond his efforts and tenure.”</w:t>
      </w:r>
    </w:p>
    <w:p w:rsidR="00AE63F3" w:rsidRDefault="00190907" w:rsidP="00F44A9C">
      <w:r w:rsidRPr="003C0CB4">
        <w:br/>
      </w:r>
      <w:r>
        <w:t xml:space="preserve">Gemeinsam haben wir im Rahmen eines </w:t>
      </w:r>
      <w:r w:rsidR="00AE63F3">
        <w:t xml:space="preserve">Karlsruher </w:t>
      </w:r>
      <w:r>
        <w:t xml:space="preserve">EU-Projektes in Osteuropa 1994 das </w:t>
      </w:r>
    </w:p>
    <w:p w:rsidR="00AE63F3" w:rsidRPr="003C0CB4" w:rsidRDefault="00190907" w:rsidP="00F44A9C">
      <w:pPr>
        <w:rPr>
          <w:lang w:val="en-US"/>
        </w:rPr>
      </w:pPr>
      <w:r w:rsidRPr="003C0CB4">
        <w:rPr>
          <w:lang w:val="en-US"/>
        </w:rPr>
        <w:t>„ICC-International Camp on Communication &amp; Computers”</w:t>
      </w:r>
    </w:p>
    <w:p w:rsidR="00AE63F3" w:rsidRDefault="00190907" w:rsidP="00F44A9C">
      <w:r w:rsidRPr="00190907">
        <w:t xml:space="preserve">gegründet, </w:t>
      </w:r>
      <w:r w:rsidRPr="00127516">
        <w:t xml:space="preserve">das jährlich in einem anderen europäischen </w:t>
      </w:r>
      <w:r w:rsidR="00127516" w:rsidRPr="00127516">
        <w:t>Land</w:t>
      </w:r>
      <w:r w:rsidRPr="00127516">
        <w:t xml:space="preserve"> stattfindend, in der Zwischenzeit – in 17 </w:t>
      </w:r>
      <w:r w:rsidR="00127516" w:rsidRPr="00127516">
        <w:t>Jahren</w:t>
      </w:r>
      <w:r w:rsidRPr="00127516">
        <w:t>-</w:t>
      </w:r>
      <w:r w:rsidR="00127516">
        <w:t>sicher fast 2000 junge Menschen aus über 20 europäischen Staaten zusammengeführt hat. Ihnen ko</w:t>
      </w:r>
      <w:r w:rsidR="00AE63F3">
        <w:t>nnten wir zusammen mit dem aktiv</w:t>
      </w:r>
      <w:r w:rsidR="00127516">
        <w:t>en Linzer Team, dem Gastland</w:t>
      </w:r>
      <w:r w:rsidR="00AE63F3">
        <w:t xml:space="preserve"> und seinen Helfern</w:t>
      </w:r>
      <w:r w:rsidR="00127516">
        <w:t xml:space="preserve"> und den nationalen Koordinatoren und</w:t>
      </w:r>
      <w:r w:rsidR="00AE63F3">
        <w:t xml:space="preserve"> i</w:t>
      </w:r>
      <w:r w:rsidR="00127516">
        <w:t>hren Begleitern in Workshops neue Perspektiven in ihrer Persönlichkeit für Leben-, Ausbildung und Beruf aufzeigen. Nicht zuletzt hatte die Präsenz des ICC in dem jeweiligen Gastland einen nicht unbedeutenden</w:t>
      </w:r>
      <w:r w:rsidR="00AE63F3">
        <w:t xml:space="preserve"> Impuls auf Sensibilisierung und </w:t>
      </w:r>
      <w:r w:rsidR="00127516">
        <w:t xml:space="preserve"> Wahrnehmung von Menschen mit Behinderun</w:t>
      </w:r>
      <w:r w:rsidR="00AE63F3">
        <w:t>gen und die damit einhergehende gesellschaftliche</w:t>
      </w:r>
      <w:r w:rsidR="00127516">
        <w:t xml:space="preserve"> Verantwortung. </w:t>
      </w:r>
    </w:p>
    <w:p w:rsidR="00AE63F3" w:rsidRDefault="00127516" w:rsidP="00F44A9C">
      <w:r>
        <w:t>Ohne Probleme könnte ich hier fortsetzten, aber ich möchte abschließend einen Wunsch äußern:</w:t>
      </w:r>
      <w:r>
        <w:br/>
        <w:t>Präsidium und Senat des KIT haben in meiner Nachfolge einmütig beschlossen</w:t>
      </w:r>
      <w:r w:rsidR="00AE63F3">
        <w:t>, das Baden-W</w:t>
      </w:r>
      <w:r>
        <w:t xml:space="preserve">ürttembergische Wissenschaftsministerium </w:t>
      </w:r>
      <w:r w:rsidR="00AE63F3">
        <w:t>dem zugestimmt</w:t>
      </w:r>
      <w:proofErr w:type="gramStart"/>
      <w:r w:rsidR="00AE63F3">
        <w:t>,</w:t>
      </w:r>
      <w:r w:rsidR="00AC47CC">
        <w:t>-</w:t>
      </w:r>
      <w:proofErr w:type="gramEnd"/>
      <w:r w:rsidR="00AC47CC">
        <w:t>das</w:t>
      </w:r>
      <w:r>
        <w:t xml:space="preserve"> SZS erhält mit der </w:t>
      </w:r>
    </w:p>
    <w:p w:rsidR="00AE63F3" w:rsidRDefault="00127516" w:rsidP="00F44A9C">
      <w:r>
        <w:t>Pro</w:t>
      </w:r>
      <w:r w:rsidR="00AE63F3">
        <w:t>fessur „Informatik-Systeme für s</w:t>
      </w:r>
      <w:r>
        <w:t>ehgeschädigte Studierende“</w:t>
      </w:r>
    </w:p>
    <w:p w:rsidR="00AE63F3" w:rsidRDefault="00127516" w:rsidP="00F44A9C">
      <w:r>
        <w:t xml:space="preserve"> –international die erste ihrer Art!- ein nachhaltiges </w:t>
      </w:r>
      <w:r w:rsidR="00AC47CC">
        <w:t>wissenschaftliches</w:t>
      </w:r>
      <w:r>
        <w:t xml:space="preserve"> Dach.</w:t>
      </w:r>
      <w:r w:rsidR="00AC47CC">
        <w:t xml:space="preserve"> Forschung und Entwicklung im Blinden- und Sehbehindertenbereich, aber vor allem auch in ihrer Übertragbarkeit auf Menschen mit anderen Behinderungen wird damit dem Karlsruher SZS neue Akzente geben –ein Leuchtturm des KIT!</w:t>
      </w:r>
      <w:r w:rsidR="00AC47CC">
        <w:br/>
        <w:t>Mein Wunsch: die Netzwerke persönlicher und fachlicher Ebene zwischen IKU und KIT in der 20 jährigen Arbeit des Instituts „integriert studieren“ und dessen weltweitem Netzwerk auch auf meinen Nachfolger zu übertragen.</w:t>
      </w:r>
      <w:r w:rsidR="00AE63F3">
        <w:t xml:space="preserve"> Vor wenigen Wochen wurde der Kooperationsvertrag von den Präsidenten beider Universitäten unterzeichnet.</w:t>
      </w:r>
    </w:p>
    <w:p w:rsidR="00F44A9C" w:rsidRDefault="00AC47CC" w:rsidP="00F44A9C">
      <w:r>
        <w:t xml:space="preserve"> Gemeinsam sind, wir noch stärker und es gibt noch viel zu tun!</w:t>
      </w:r>
    </w:p>
    <w:p w:rsidR="00AC47CC" w:rsidRPr="00371DAB" w:rsidRDefault="00AE63F3" w:rsidP="00F44A9C">
      <w:r>
        <w:t>Darf ich</w:t>
      </w:r>
      <w:r w:rsidR="00A86988">
        <w:t xml:space="preserve"> abschließen und den Bogen zu mein</w:t>
      </w:r>
      <w:r>
        <w:t>en einleitenden Teilen schlagen:</w:t>
      </w:r>
      <w:r w:rsidR="00A86988">
        <w:br/>
        <w:t xml:space="preserve">Der </w:t>
      </w:r>
      <w:r w:rsidR="00A86988" w:rsidRPr="006B2BD8">
        <w:t>“1</w:t>
      </w:r>
      <w:r w:rsidR="00A86988" w:rsidRPr="006B2BD8">
        <w:rPr>
          <w:vertAlign w:val="superscript"/>
        </w:rPr>
        <w:t>st</w:t>
      </w:r>
      <w:r w:rsidR="00A86988" w:rsidRPr="006B2BD8">
        <w:t xml:space="preserve"> World Report on </w:t>
      </w:r>
      <w:proofErr w:type="spellStart"/>
      <w:r w:rsidR="00A86988" w:rsidRPr="006B2BD8">
        <w:t>Disability</w:t>
      </w:r>
      <w:proofErr w:type="spellEnd"/>
      <w:r w:rsidR="00A86988" w:rsidRPr="006B2BD8">
        <w:t xml:space="preserve">” </w:t>
      </w:r>
      <w:r w:rsidR="00A86988" w:rsidRPr="00A86988">
        <w:t>der</w:t>
      </w:r>
      <w:r>
        <w:t xml:space="preserve"> WHO / </w:t>
      </w:r>
      <w:proofErr w:type="spellStart"/>
      <w:r>
        <w:t>World</w:t>
      </w:r>
      <w:r w:rsidR="00A86988" w:rsidRPr="006B2BD8">
        <w:t>bank</w:t>
      </w:r>
      <w:proofErr w:type="spellEnd"/>
      <w:r w:rsidR="00A86988" w:rsidRPr="006B2BD8">
        <w:t xml:space="preserve"> </w:t>
      </w:r>
      <w:r w:rsidR="00A86988" w:rsidRPr="00371DAB">
        <w:t xml:space="preserve">hat </w:t>
      </w:r>
      <w:r w:rsidR="00371DAB" w:rsidRPr="00371DAB">
        <w:t xml:space="preserve">hier </w:t>
      </w:r>
      <w:r w:rsidR="00A86988" w:rsidRPr="00371DAB">
        <w:t xml:space="preserve">seine konkrete Umgebung –fahren wir </w:t>
      </w:r>
      <w:r w:rsidR="00371DAB" w:rsidRPr="00371DAB">
        <w:t>gemeinsam</w:t>
      </w:r>
      <w:r w:rsidR="00A86988" w:rsidRPr="00371DAB">
        <w:t xml:space="preserve"> fort.</w:t>
      </w:r>
    </w:p>
    <w:p w:rsidR="00A86988" w:rsidRDefault="00371DAB" w:rsidP="00F44A9C">
      <w:r>
        <w:t>In einer der letzten E-Mails schrieb mir Rola</w:t>
      </w:r>
      <w:r w:rsidR="00141623">
        <w:t>nd Wagner:</w:t>
      </w:r>
      <w:r w:rsidR="00141623">
        <w:br/>
        <w:t>„Man hat bereits vieles</w:t>
      </w:r>
      <w:r>
        <w:t xml:space="preserve"> Posit</w:t>
      </w:r>
      <w:r w:rsidR="00141623">
        <w:t>ive</w:t>
      </w:r>
      <w:r>
        <w:t xml:space="preserve"> erreichen können</w:t>
      </w:r>
      <w:r w:rsidR="00141623">
        <w:t>,</w:t>
      </w:r>
      <w:r>
        <w:t xml:space="preserve"> und wir stehen davor, weiter in diese Richtung zu gehen, dass Menschen mit Behinderungen gerade in unserem Jahrhundert die volle Unterstützung der Technik, IT / AT bekommen</w:t>
      </w:r>
      <w:r w:rsidR="00141623">
        <w:t>, um immer mehr in die</w:t>
      </w:r>
      <w:r>
        <w:t xml:space="preserve"> Gesellschaft vollständig hineinzuwachsen, bis zu diesem Augenblick, wo nahezu überhaupt kein Unterschied mehr zu erkennen ist.“</w:t>
      </w:r>
    </w:p>
    <w:p w:rsidR="00141623" w:rsidRDefault="00141623" w:rsidP="00F44A9C"/>
    <w:p w:rsidR="00141623" w:rsidRDefault="00141623" w:rsidP="00F44A9C"/>
    <w:p w:rsidR="00371DAB" w:rsidRPr="00371DAB" w:rsidRDefault="00371DAB" w:rsidP="00F44A9C">
      <w:r>
        <w:t>Ich danke für Ihre Aufmerksamkeit!</w:t>
      </w:r>
    </w:p>
    <w:sectPr w:rsidR="00371DAB" w:rsidRPr="00371DAB" w:rsidSect="00750F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nion Pro">
    <w:altName w:val="Minion Pro"/>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2705"/>
    <w:multiLevelType w:val="hybridMultilevel"/>
    <w:tmpl w:val="3FB8F9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33F2F12"/>
    <w:multiLevelType w:val="hybridMultilevel"/>
    <w:tmpl w:val="75FA74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6712B1E"/>
    <w:multiLevelType w:val="hybridMultilevel"/>
    <w:tmpl w:val="B8ECD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FED5DBE"/>
    <w:multiLevelType w:val="hybridMultilevel"/>
    <w:tmpl w:val="0F80F1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81A51B4"/>
    <w:multiLevelType w:val="hybridMultilevel"/>
    <w:tmpl w:val="7F0EAF2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4A7B278F"/>
    <w:multiLevelType w:val="hybridMultilevel"/>
    <w:tmpl w:val="B4162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DD24576"/>
    <w:multiLevelType w:val="hybridMultilevel"/>
    <w:tmpl w:val="1FC2A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2972C15"/>
    <w:multiLevelType w:val="hybridMultilevel"/>
    <w:tmpl w:val="D50EF5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CA734B5"/>
    <w:multiLevelType w:val="hybridMultilevel"/>
    <w:tmpl w:val="A9A230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8F246CF"/>
    <w:multiLevelType w:val="hybridMultilevel"/>
    <w:tmpl w:val="6A64D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EC12F76"/>
    <w:multiLevelType w:val="hybridMultilevel"/>
    <w:tmpl w:val="32BA6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5D40A52"/>
    <w:multiLevelType w:val="hybridMultilevel"/>
    <w:tmpl w:val="2D64D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C5B764F"/>
    <w:multiLevelType w:val="hybridMultilevel"/>
    <w:tmpl w:val="2E746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1"/>
  </w:num>
  <w:num w:numId="4">
    <w:abstractNumId w:val="0"/>
  </w:num>
  <w:num w:numId="5">
    <w:abstractNumId w:val="3"/>
  </w:num>
  <w:num w:numId="6">
    <w:abstractNumId w:val="8"/>
  </w:num>
  <w:num w:numId="7">
    <w:abstractNumId w:val="12"/>
  </w:num>
  <w:num w:numId="8">
    <w:abstractNumId w:val="2"/>
  </w:num>
  <w:num w:numId="9">
    <w:abstractNumId w:val="9"/>
  </w:num>
  <w:num w:numId="10">
    <w:abstractNumId w:val="5"/>
  </w:num>
  <w:num w:numId="11">
    <w:abstractNumId w:val="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96"/>
    <w:rsid w:val="00066F22"/>
    <w:rsid w:val="00127516"/>
    <w:rsid w:val="00135FFA"/>
    <w:rsid w:val="00141623"/>
    <w:rsid w:val="00164B7C"/>
    <w:rsid w:val="00190907"/>
    <w:rsid w:val="00240D5B"/>
    <w:rsid w:val="00327569"/>
    <w:rsid w:val="00371DAB"/>
    <w:rsid w:val="003C0CB4"/>
    <w:rsid w:val="004070F3"/>
    <w:rsid w:val="004A178A"/>
    <w:rsid w:val="004E63A1"/>
    <w:rsid w:val="0051179A"/>
    <w:rsid w:val="005614F8"/>
    <w:rsid w:val="0063195E"/>
    <w:rsid w:val="006616CA"/>
    <w:rsid w:val="00664EA7"/>
    <w:rsid w:val="006B2BD8"/>
    <w:rsid w:val="00750F89"/>
    <w:rsid w:val="007C5BE8"/>
    <w:rsid w:val="007D4C16"/>
    <w:rsid w:val="0083549E"/>
    <w:rsid w:val="00885A64"/>
    <w:rsid w:val="00896ADE"/>
    <w:rsid w:val="008C4C09"/>
    <w:rsid w:val="00982EC5"/>
    <w:rsid w:val="00A14B5E"/>
    <w:rsid w:val="00A17742"/>
    <w:rsid w:val="00A67C39"/>
    <w:rsid w:val="00A86988"/>
    <w:rsid w:val="00AC47CC"/>
    <w:rsid w:val="00AE63F3"/>
    <w:rsid w:val="00B306CD"/>
    <w:rsid w:val="00B613AE"/>
    <w:rsid w:val="00BF1BAC"/>
    <w:rsid w:val="00C47965"/>
    <w:rsid w:val="00C637D9"/>
    <w:rsid w:val="00C96DF8"/>
    <w:rsid w:val="00DA2082"/>
    <w:rsid w:val="00DE6C96"/>
    <w:rsid w:val="00E24802"/>
    <w:rsid w:val="00E26B44"/>
    <w:rsid w:val="00E819A9"/>
    <w:rsid w:val="00EA3E75"/>
    <w:rsid w:val="00ED017E"/>
    <w:rsid w:val="00F232AC"/>
    <w:rsid w:val="00F44A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40D5B"/>
    <w:pPr>
      <w:ind w:left="720"/>
      <w:contextualSpacing/>
    </w:pPr>
  </w:style>
  <w:style w:type="paragraph" w:customStyle="1" w:styleId="Default">
    <w:name w:val="Default"/>
    <w:rsid w:val="00EA3E75"/>
    <w:pPr>
      <w:autoSpaceDE w:val="0"/>
      <w:autoSpaceDN w:val="0"/>
      <w:adjustRightInd w:val="0"/>
      <w:spacing w:after="0" w:line="240" w:lineRule="auto"/>
    </w:pPr>
    <w:rPr>
      <w:rFonts w:ascii="Minion Pro" w:hAnsi="Minion Pro" w:cs="Minion Pro"/>
      <w:color w:val="000000"/>
      <w:sz w:val="24"/>
      <w:szCs w:val="24"/>
    </w:rPr>
  </w:style>
  <w:style w:type="paragraph" w:customStyle="1" w:styleId="Pa212">
    <w:name w:val="Pa2+12"/>
    <w:basedOn w:val="Default"/>
    <w:next w:val="Default"/>
    <w:uiPriority w:val="99"/>
    <w:rsid w:val="00EA3E75"/>
    <w:pPr>
      <w:spacing w:line="22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40D5B"/>
    <w:pPr>
      <w:ind w:left="720"/>
      <w:contextualSpacing/>
    </w:pPr>
  </w:style>
  <w:style w:type="paragraph" w:customStyle="1" w:styleId="Default">
    <w:name w:val="Default"/>
    <w:rsid w:val="00EA3E75"/>
    <w:pPr>
      <w:autoSpaceDE w:val="0"/>
      <w:autoSpaceDN w:val="0"/>
      <w:adjustRightInd w:val="0"/>
      <w:spacing w:after="0" w:line="240" w:lineRule="auto"/>
    </w:pPr>
    <w:rPr>
      <w:rFonts w:ascii="Minion Pro" w:hAnsi="Minion Pro" w:cs="Minion Pro"/>
      <w:color w:val="000000"/>
      <w:sz w:val="24"/>
      <w:szCs w:val="24"/>
    </w:rPr>
  </w:style>
  <w:style w:type="paragraph" w:customStyle="1" w:styleId="Pa212">
    <w:name w:val="Pa2+12"/>
    <w:basedOn w:val="Default"/>
    <w:next w:val="Default"/>
    <w:uiPriority w:val="99"/>
    <w:rsid w:val="00EA3E75"/>
    <w:pPr>
      <w:spacing w:line="2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2770</Words>
  <Characters>17451</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Ulrike Hoffmann</dc:creator>
  <cp:lastModifiedBy>Roland Wagner</cp:lastModifiedBy>
  <cp:revision>2</cp:revision>
  <dcterms:created xsi:type="dcterms:W3CDTF">2011-07-15T14:27:00Z</dcterms:created>
  <dcterms:modified xsi:type="dcterms:W3CDTF">2011-07-15T14:27:00Z</dcterms:modified>
</cp:coreProperties>
</file>